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DFAD" w14:textId="77777777" w:rsidR="00B92CD1" w:rsidRDefault="00000000">
      <w:pPr>
        <w:spacing w:after="0" w:line="259" w:lineRule="auto"/>
        <w:ind w:left="0" w:firstLine="0"/>
      </w:pPr>
      <w:r>
        <w:rPr>
          <w:rFonts w:ascii="Times New Roman" w:eastAsia="Times New Roman" w:hAnsi="Times New Roman" w:cs="Times New Roman"/>
          <w:sz w:val="24"/>
        </w:rPr>
        <w:t xml:space="preserve"> </w:t>
      </w:r>
    </w:p>
    <w:p w14:paraId="189FCD49" w14:textId="77777777" w:rsidR="00B92CD1" w:rsidRDefault="00000000">
      <w:pPr>
        <w:spacing w:after="0" w:line="259" w:lineRule="auto"/>
        <w:ind w:left="2199" w:firstLine="0"/>
        <w:jc w:val="center"/>
      </w:pPr>
      <w:r>
        <w:rPr>
          <w:noProof/>
        </w:rPr>
        <w:drawing>
          <wp:anchor distT="0" distB="0" distL="114300" distR="114300" simplePos="0" relativeHeight="251658240" behindDoc="0" locked="0" layoutInCell="1" allowOverlap="0" wp14:anchorId="5D8923B8" wp14:editId="712C22DB">
            <wp:simplePos x="0" y="0"/>
            <wp:positionH relativeFrom="column">
              <wp:posOffset>-20827</wp:posOffset>
            </wp:positionH>
            <wp:positionV relativeFrom="paragraph">
              <wp:posOffset>-20891</wp:posOffset>
            </wp:positionV>
            <wp:extent cx="1647825" cy="542290"/>
            <wp:effectExtent l="0" t="0" r="0" b="0"/>
            <wp:wrapSquare wrapText="bothSides"/>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5"/>
                    <a:stretch>
                      <a:fillRect/>
                    </a:stretch>
                  </pic:blipFill>
                  <pic:spPr>
                    <a:xfrm>
                      <a:off x="0" y="0"/>
                      <a:ext cx="1647825" cy="542290"/>
                    </a:xfrm>
                    <a:prstGeom prst="rect">
                      <a:avLst/>
                    </a:prstGeom>
                  </pic:spPr>
                </pic:pic>
              </a:graphicData>
            </a:graphic>
          </wp:anchor>
        </w:drawing>
      </w:r>
      <w:r>
        <w:rPr>
          <w:b/>
          <w:sz w:val="18"/>
        </w:rPr>
        <w:t xml:space="preserve"> </w:t>
      </w:r>
    </w:p>
    <w:p w14:paraId="45933067" w14:textId="77777777" w:rsidR="00B92CD1" w:rsidRDefault="00000000">
      <w:pPr>
        <w:spacing w:after="0" w:line="259" w:lineRule="auto"/>
        <w:ind w:left="3224" w:firstLine="0"/>
        <w:jc w:val="center"/>
      </w:pPr>
      <w:r>
        <w:rPr>
          <w:b/>
          <w:sz w:val="16"/>
        </w:rPr>
        <w:t xml:space="preserve">Mackay Office </w:t>
      </w:r>
    </w:p>
    <w:p w14:paraId="3AB4B2D0" w14:textId="77777777" w:rsidR="00B92CD1" w:rsidRDefault="00000000">
      <w:pPr>
        <w:spacing w:after="67" w:line="259" w:lineRule="auto"/>
      </w:pPr>
      <w:r>
        <w:rPr>
          <w:sz w:val="16"/>
        </w:rPr>
        <w:t xml:space="preserve">P.O. Box 1801, Mackay, QLD 4740 </w:t>
      </w:r>
    </w:p>
    <w:p w14:paraId="413CB5C5" w14:textId="77777777" w:rsidR="00B92CD1" w:rsidRDefault="00000000">
      <w:pPr>
        <w:tabs>
          <w:tab w:val="center" w:pos="2576"/>
          <w:tab w:val="center" w:pos="7387"/>
        </w:tabs>
        <w:spacing w:after="115" w:line="259" w:lineRule="auto"/>
        <w:ind w:left="0" w:firstLine="0"/>
      </w:pPr>
      <w:r>
        <w:rPr>
          <w:rFonts w:ascii="Calibri" w:eastAsia="Calibri" w:hAnsi="Calibri" w:cs="Calibri"/>
        </w:rPr>
        <w:tab/>
      </w:r>
      <w:r>
        <w:rPr>
          <w:sz w:val="20"/>
        </w:rPr>
        <w:t xml:space="preserve"> </w:t>
      </w:r>
      <w:r>
        <w:rPr>
          <w:sz w:val="20"/>
        </w:rPr>
        <w:tab/>
      </w:r>
      <w:r>
        <w:rPr>
          <w:sz w:val="16"/>
        </w:rPr>
        <w:t>Phone: 07 4999 8512,   Fax: 07 49998519</w:t>
      </w:r>
      <w:r>
        <w:rPr>
          <w:sz w:val="20"/>
        </w:rPr>
        <w:t xml:space="preserve"> </w:t>
      </w:r>
    </w:p>
    <w:p w14:paraId="51162919" w14:textId="77777777" w:rsidR="00B92CD1" w:rsidRDefault="00000000">
      <w:pPr>
        <w:spacing w:after="129" w:line="259" w:lineRule="auto"/>
        <w:ind w:left="74" w:firstLine="0"/>
      </w:pPr>
      <w:r>
        <w:rPr>
          <w:b/>
          <w:sz w:val="16"/>
        </w:rPr>
        <w:t xml:space="preserve"> </w:t>
      </w:r>
    </w:p>
    <w:p w14:paraId="5A337873" w14:textId="77777777" w:rsidR="00B92CD1" w:rsidRDefault="00000000">
      <w:pPr>
        <w:spacing w:after="0" w:line="259" w:lineRule="auto"/>
        <w:ind w:left="0" w:firstLine="0"/>
      </w:pPr>
      <w:r>
        <w:rPr>
          <w:sz w:val="4"/>
        </w:rPr>
        <w:t xml:space="preserve"> </w:t>
      </w:r>
    </w:p>
    <w:tbl>
      <w:tblPr>
        <w:tblStyle w:val="TableGrid"/>
        <w:tblW w:w="9333" w:type="dxa"/>
        <w:tblInd w:w="26" w:type="dxa"/>
        <w:tblCellMar>
          <w:top w:w="31" w:type="dxa"/>
          <w:right w:w="115" w:type="dxa"/>
        </w:tblCellMar>
        <w:tblLook w:val="04A0" w:firstRow="1" w:lastRow="0" w:firstColumn="1" w:lastColumn="0" w:noHBand="0" w:noVBand="1"/>
      </w:tblPr>
      <w:tblGrid>
        <w:gridCol w:w="2749"/>
        <w:gridCol w:w="965"/>
        <w:gridCol w:w="1865"/>
        <w:gridCol w:w="2369"/>
        <w:gridCol w:w="1385"/>
      </w:tblGrid>
      <w:tr w:rsidR="00B92CD1" w14:paraId="33DB4918" w14:textId="77777777">
        <w:trPr>
          <w:trHeight w:val="271"/>
        </w:trPr>
        <w:tc>
          <w:tcPr>
            <w:tcW w:w="2749" w:type="dxa"/>
            <w:tcBorders>
              <w:top w:val="single" w:sz="12" w:space="0" w:color="000000"/>
              <w:left w:val="nil"/>
              <w:bottom w:val="single" w:sz="12" w:space="0" w:color="000000"/>
              <w:right w:val="nil"/>
            </w:tcBorders>
          </w:tcPr>
          <w:p w14:paraId="03A0C1DA" w14:textId="77777777" w:rsidR="00B92CD1" w:rsidRDefault="00000000">
            <w:pPr>
              <w:spacing w:after="0" w:line="259" w:lineRule="auto"/>
              <w:ind w:left="96" w:firstLine="0"/>
            </w:pPr>
            <w:r>
              <w:rPr>
                <w:b/>
                <w:sz w:val="20"/>
              </w:rPr>
              <w:t xml:space="preserve">Mine Name </w:t>
            </w:r>
          </w:p>
        </w:tc>
        <w:tc>
          <w:tcPr>
            <w:tcW w:w="965" w:type="dxa"/>
            <w:tcBorders>
              <w:top w:val="single" w:sz="12" w:space="0" w:color="000000"/>
              <w:left w:val="nil"/>
              <w:bottom w:val="single" w:sz="12" w:space="0" w:color="000000"/>
              <w:right w:val="nil"/>
            </w:tcBorders>
          </w:tcPr>
          <w:p w14:paraId="49397527" w14:textId="77777777" w:rsidR="00B92CD1" w:rsidRDefault="00000000">
            <w:pPr>
              <w:spacing w:after="0" w:line="259" w:lineRule="auto"/>
              <w:ind w:left="0" w:firstLine="0"/>
            </w:pPr>
            <w:r>
              <w:rPr>
                <w:b/>
                <w:sz w:val="20"/>
              </w:rPr>
              <w:t xml:space="preserve">MineID </w:t>
            </w:r>
          </w:p>
        </w:tc>
        <w:tc>
          <w:tcPr>
            <w:tcW w:w="1865" w:type="dxa"/>
            <w:tcBorders>
              <w:top w:val="single" w:sz="12" w:space="0" w:color="000000"/>
              <w:left w:val="nil"/>
              <w:bottom w:val="single" w:sz="12" w:space="0" w:color="000000"/>
              <w:right w:val="nil"/>
            </w:tcBorders>
          </w:tcPr>
          <w:p w14:paraId="3C503268" w14:textId="77777777" w:rsidR="00B92CD1" w:rsidRDefault="00000000">
            <w:pPr>
              <w:spacing w:after="0" w:line="259" w:lineRule="auto"/>
              <w:ind w:left="223" w:firstLine="0"/>
            </w:pPr>
            <w:r>
              <w:rPr>
                <w:b/>
                <w:sz w:val="20"/>
              </w:rPr>
              <w:t xml:space="preserve">Operator </w:t>
            </w:r>
          </w:p>
        </w:tc>
        <w:tc>
          <w:tcPr>
            <w:tcW w:w="2369" w:type="dxa"/>
            <w:tcBorders>
              <w:top w:val="single" w:sz="12" w:space="0" w:color="000000"/>
              <w:left w:val="nil"/>
              <w:bottom w:val="single" w:sz="12" w:space="0" w:color="000000"/>
              <w:right w:val="nil"/>
            </w:tcBorders>
          </w:tcPr>
          <w:p w14:paraId="6BAAA66E" w14:textId="77777777" w:rsidR="00B92CD1" w:rsidRDefault="00000000">
            <w:pPr>
              <w:spacing w:after="0" w:line="259" w:lineRule="auto"/>
              <w:ind w:left="286" w:firstLine="0"/>
            </w:pPr>
            <w:r>
              <w:rPr>
                <w:b/>
                <w:sz w:val="20"/>
              </w:rPr>
              <w:t xml:space="preserve">Activity Type </w:t>
            </w:r>
          </w:p>
        </w:tc>
        <w:tc>
          <w:tcPr>
            <w:tcW w:w="1385" w:type="dxa"/>
            <w:tcBorders>
              <w:top w:val="single" w:sz="12" w:space="0" w:color="000000"/>
              <w:left w:val="nil"/>
              <w:bottom w:val="single" w:sz="12" w:space="0" w:color="000000"/>
              <w:right w:val="nil"/>
            </w:tcBorders>
          </w:tcPr>
          <w:p w14:paraId="0CBFC453" w14:textId="77777777" w:rsidR="00B92CD1" w:rsidRDefault="00000000">
            <w:pPr>
              <w:spacing w:after="0" w:line="259" w:lineRule="auto"/>
              <w:ind w:left="0" w:firstLine="0"/>
            </w:pPr>
            <w:r>
              <w:rPr>
                <w:b/>
                <w:sz w:val="20"/>
              </w:rPr>
              <w:t xml:space="preserve">Activity Date </w:t>
            </w:r>
          </w:p>
        </w:tc>
      </w:tr>
      <w:tr w:rsidR="00B92CD1" w14:paraId="6ED8BE31" w14:textId="77777777">
        <w:trPr>
          <w:trHeight w:val="751"/>
        </w:trPr>
        <w:tc>
          <w:tcPr>
            <w:tcW w:w="2749" w:type="dxa"/>
            <w:tcBorders>
              <w:top w:val="single" w:sz="12" w:space="0" w:color="000000"/>
              <w:left w:val="nil"/>
              <w:bottom w:val="single" w:sz="12" w:space="0" w:color="000000"/>
              <w:right w:val="nil"/>
            </w:tcBorders>
          </w:tcPr>
          <w:p w14:paraId="7E8FE63F" w14:textId="77777777" w:rsidR="00B92CD1" w:rsidRDefault="00000000">
            <w:pPr>
              <w:spacing w:after="0" w:line="259" w:lineRule="auto"/>
              <w:ind w:left="96" w:firstLine="0"/>
            </w:pPr>
            <w:r>
              <w:rPr>
                <w:sz w:val="16"/>
              </w:rPr>
              <w:t xml:space="preserve">Middlemount Mine </w:t>
            </w:r>
          </w:p>
        </w:tc>
        <w:tc>
          <w:tcPr>
            <w:tcW w:w="965" w:type="dxa"/>
            <w:tcBorders>
              <w:top w:val="single" w:sz="12" w:space="0" w:color="000000"/>
              <w:left w:val="nil"/>
              <w:bottom w:val="single" w:sz="12" w:space="0" w:color="000000"/>
              <w:right w:val="nil"/>
            </w:tcBorders>
          </w:tcPr>
          <w:p w14:paraId="7180F87E" w14:textId="77777777" w:rsidR="00B92CD1" w:rsidRDefault="00000000">
            <w:pPr>
              <w:spacing w:after="0" w:line="259" w:lineRule="auto"/>
              <w:ind w:left="34" w:firstLine="0"/>
            </w:pPr>
            <w:r>
              <w:rPr>
                <w:sz w:val="16"/>
              </w:rPr>
              <w:t xml:space="preserve">MI01865 </w:t>
            </w:r>
          </w:p>
        </w:tc>
        <w:tc>
          <w:tcPr>
            <w:tcW w:w="1865" w:type="dxa"/>
            <w:tcBorders>
              <w:top w:val="single" w:sz="12" w:space="0" w:color="000000"/>
              <w:left w:val="nil"/>
              <w:bottom w:val="single" w:sz="12" w:space="0" w:color="000000"/>
              <w:right w:val="nil"/>
            </w:tcBorders>
          </w:tcPr>
          <w:p w14:paraId="7BC9F27B" w14:textId="77777777" w:rsidR="00B92CD1" w:rsidRDefault="00000000">
            <w:pPr>
              <w:spacing w:after="40" w:line="259" w:lineRule="auto"/>
              <w:ind w:left="0" w:firstLine="0"/>
            </w:pPr>
            <w:r>
              <w:rPr>
                <w:sz w:val="16"/>
              </w:rPr>
              <w:t xml:space="preserve">Middlemount Coal </w:t>
            </w:r>
          </w:p>
          <w:p w14:paraId="0D684A81" w14:textId="77777777" w:rsidR="00B92CD1" w:rsidRDefault="00000000">
            <w:pPr>
              <w:spacing w:after="40" w:line="259" w:lineRule="auto"/>
              <w:ind w:left="396" w:firstLine="0"/>
            </w:pPr>
            <w:r>
              <w:rPr>
                <w:sz w:val="16"/>
              </w:rPr>
              <w:t xml:space="preserve">Pty Ltd </w:t>
            </w:r>
          </w:p>
          <w:p w14:paraId="74FEE70A" w14:textId="77777777" w:rsidR="00B92CD1" w:rsidRDefault="00000000">
            <w:pPr>
              <w:spacing w:after="0" w:line="259" w:lineRule="auto"/>
              <w:ind w:left="646" w:firstLine="0"/>
            </w:pPr>
            <w:r>
              <w:rPr>
                <w:sz w:val="16"/>
              </w:rPr>
              <w:t xml:space="preserve"> </w:t>
            </w:r>
          </w:p>
        </w:tc>
        <w:tc>
          <w:tcPr>
            <w:tcW w:w="2369" w:type="dxa"/>
            <w:tcBorders>
              <w:top w:val="single" w:sz="12" w:space="0" w:color="000000"/>
              <w:left w:val="nil"/>
              <w:bottom w:val="single" w:sz="12" w:space="0" w:color="000000"/>
              <w:right w:val="nil"/>
            </w:tcBorders>
          </w:tcPr>
          <w:p w14:paraId="71F262F7" w14:textId="77777777" w:rsidR="00B92CD1" w:rsidRDefault="00000000">
            <w:pPr>
              <w:spacing w:after="0" w:line="259" w:lineRule="auto"/>
              <w:ind w:left="0" w:firstLine="0"/>
            </w:pPr>
            <w:r>
              <w:rPr>
                <w:sz w:val="16"/>
              </w:rPr>
              <w:t xml:space="preserve">Postal Mine Record Entry   </w:t>
            </w:r>
          </w:p>
        </w:tc>
        <w:tc>
          <w:tcPr>
            <w:tcW w:w="1385" w:type="dxa"/>
            <w:tcBorders>
              <w:top w:val="single" w:sz="12" w:space="0" w:color="000000"/>
              <w:left w:val="nil"/>
              <w:bottom w:val="single" w:sz="12" w:space="0" w:color="000000"/>
              <w:right w:val="nil"/>
            </w:tcBorders>
          </w:tcPr>
          <w:p w14:paraId="7ACB9324" w14:textId="77777777" w:rsidR="00B92CD1" w:rsidRDefault="00000000">
            <w:pPr>
              <w:spacing w:after="0" w:line="259" w:lineRule="auto"/>
              <w:ind w:left="204" w:firstLine="0"/>
            </w:pPr>
            <w:r>
              <w:rPr>
                <w:sz w:val="16"/>
              </w:rPr>
              <w:t xml:space="preserve">27/11/2018 </w:t>
            </w:r>
          </w:p>
        </w:tc>
      </w:tr>
    </w:tbl>
    <w:p w14:paraId="0C055038" w14:textId="77777777" w:rsidR="00B92CD1" w:rsidRDefault="00000000">
      <w:pPr>
        <w:spacing w:after="0" w:line="259" w:lineRule="auto"/>
        <w:ind w:left="0" w:firstLine="0"/>
      </w:pPr>
      <w:r>
        <w:rPr>
          <w:rFonts w:ascii="Times New Roman" w:eastAsia="Times New Roman" w:hAnsi="Times New Roman" w:cs="Times New Roman"/>
          <w:sz w:val="4"/>
        </w:rPr>
        <w:t xml:space="preserve"> </w:t>
      </w:r>
    </w:p>
    <w:p w14:paraId="42E335E8" w14:textId="77777777" w:rsidR="00B92CD1" w:rsidRDefault="00000000">
      <w:pPr>
        <w:spacing w:after="167" w:line="259" w:lineRule="auto"/>
        <w:ind w:left="0" w:firstLine="0"/>
      </w:pPr>
      <w:r>
        <w:rPr>
          <w:rFonts w:ascii="Times New Roman" w:eastAsia="Times New Roman" w:hAnsi="Times New Roman" w:cs="Times New Roman"/>
          <w:sz w:val="4"/>
        </w:rPr>
        <w:t xml:space="preserve"> </w:t>
      </w:r>
    </w:p>
    <w:p w14:paraId="2197DCA6" w14:textId="77777777" w:rsidR="00B92CD1" w:rsidRDefault="00000000">
      <w:pPr>
        <w:spacing w:after="0" w:line="237" w:lineRule="auto"/>
        <w:ind w:left="2699" w:right="1433" w:hanging="73"/>
      </w:pPr>
      <w:r>
        <w:rPr>
          <w:b/>
          <w:i/>
          <w:color w:val="008000"/>
          <w:sz w:val="16"/>
        </w:rPr>
        <w:t xml:space="preserve">Vision: Our Industries Free of Safety and Health Incidents  </w:t>
      </w:r>
      <w:r>
        <w:rPr>
          <w:b/>
          <w:sz w:val="48"/>
        </w:rPr>
        <w:t xml:space="preserve">Mine Record Entry </w:t>
      </w:r>
    </w:p>
    <w:p w14:paraId="59F89E33" w14:textId="77777777" w:rsidR="00B92CD1" w:rsidRDefault="00000000">
      <w:pPr>
        <w:spacing w:after="179" w:line="240" w:lineRule="auto"/>
        <w:jc w:val="center"/>
      </w:pPr>
      <w:r>
        <w:rPr>
          <w:b/>
          <w:sz w:val="20"/>
        </w:rPr>
        <w:t xml:space="preserve">This report forms part of the Mine Record under s68 of the Coal Mining Safety and Health Act 1999.  It must be placed in the Mine Record and displayed on Safety Notice Boards. </w:t>
      </w:r>
    </w:p>
    <w:p w14:paraId="31D9F8D3" w14:textId="77777777" w:rsidR="00B92CD1" w:rsidRDefault="00000000">
      <w:pPr>
        <w:spacing w:after="120" w:line="240" w:lineRule="auto"/>
        <w:jc w:val="center"/>
      </w:pPr>
      <w:r>
        <w:rPr>
          <w:b/>
          <w:sz w:val="20"/>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r>
        <w:rPr>
          <w:b/>
        </w:rPr>
        <w:t xml:space="preserve"> </w:t>
      </w:r>
    </w:p>
    <w:p w14:paraId="122B7884" w14:textId="38BFD643" w:rsidR="00B92CD1" w:rsidRDefault="00000000">
      <w:pPr>
        <w:ind w:left="-5"/>
      </w:pPr>
      <w:r>
        <w:t xml:space="preserve">This Postal Mine Record Entry provides details of a teleconference held between myself, Jacqui Vinnicombe - Inspector of Mines Geotechnical, Mr Darren Cuthbertson - Site Senior Executive, Mr </w:t>
      </w:r>
      <w:r w:rsidR="00BB4670">
        <w:t>XXXX</w:t>
      </w:r>
      <w:r>
        <w:t xml:space="preserve"> - Senior HS&amp;T Advisor and Mr </w:t>
      </w:r>
      <w:r w:rsidR="00BB4670">
        <w:t>YYYY</w:t>
      </w:r>
      <w:r>
        <w:t xml:space="preserve"> - Principal Mining Engineer. </w:t>
      </w:r>
    </w:p>
    <w:p w14:paraId="28BB2CD5" w14:textId="77777777" w:rsidR="00B92CD1" w:rsidRDefault="00000000">
      <w:pPr>
        <w:ind w:left="-5"/>
      </w:pPr>
      <w:r>
        <w:t xml:space="preserve">The purpose of the teleconference was for Middlemount Mine to provide an update on progress in addressing 2 open Directives; </w:t>
      </w:r>
    </w:p>
    <w:p w14:paraId="2FB3A8CB" w14:textId="77777777" w:rsidR="00B92CD1" w:rsidRDefault="00000000">
      <w:pPr>
        <w:numPr>
          <w:ilvl w:val="0"/>
          <w:numId w:val="1"/>
        </w:numPr>
        <w:ind w:hanging="331"/>
      </w:pPr>
      <w:r>
        <w:t xml:space="preserve">Ground Control (PHMP - Geotechnical) – issued 27/06/18 by Graham Callinan </w:t>
      </w:r>
    </w:p>
    <w:p w14:paraId="1A5F3D2E" w14:textId="77777777" w:rsidR="00B92CD1" w:rsidRDefault="00000000">
      <w:pPr>
        <w:numPr>
          <w:ilvl w:val="0"/>
          <w:numId w:val="1"/>
        </w:numPr>
        <w:spacing w:after="10"/>
        <w:ind w:hanging="331"/>
      </w:pPr>
      <w:r>
        <w:t xml:space="preserve">Geotechnical Model – issued 18/07/18 by J Vinnicombe </w:t>
      </w:r>
    </w:p>
    <w:p w14:paraId="52BAC17C" w14:textId="77777777" w:rsidR="00B92CD1" w:rsidRDefault="00000000">
      <w:pPr>
        <w:spacing w:after="98" w:line="259" w:lineRule="auto"/>
        <w:ind w:left="0" w:firstLine="0"/>
      </w:pPr>
      <w:r>
        <w:t xml:space="preserve"> </w:t>
      </w:r>
    </w:p>
    <w:p w14:paraId="619D9F97" w14:textId="77777777" w:rsidR="00B92CD1" w:rsidRDefault="00000000">
      <w:pPr>
        <w:ind w:left="-5"/>
      </w:pPr>
      <w:r>
        <w:t xml:space="preserve">Matters discussed included; </w:t>
      </w:r>
    </w:p>
    <w:p w14:paraId="7700531F" w14:textId="77777777" w:rsidR="00B92CD1" w:rsidRDefault="00000000">
      <w:pPr>
        <w:numPr>
          <w:ilvl w:val="0"/>
          <w:numId w:val="2"/>
        </w:numPr>
      </w:pPr>
      <w:r>
        <w:t xml:space="preserve">the progress in developing the Geotechnical and Groundwater models – hole spacing standards of cored holes, minimum data type to be collected (geological vs geotechnical), data analysis and implementation of monitoring eg piezometers. </w:t>
      </w:r>
    </w:p>
    <w:p w14:paraId="6281C259" w14:textId="77777777" w:rsidR="00B92CD1" w:rsidRDefault="00000000">
      <w:pPr>
        <w:numPr>
          <w:ilvl w:val="0"/>
          <w:numId w:val="2"/>
        </w:numPr>
      </w:pPr>
      <w:r>
        <w:t xml:space="preserve">Current short-term ground control risk management controls and mine planning structure and processes – Mine Planning Checklists now include geotechnical considerations/prompts that have been implemented and are used for the determination of wall design factors such as softwalls and wall angle variance. </w:t>
      </w:r>
    </w:p>
    <w:p w14:paraId="2709B45D" w14:textId="7338D492" w:rsidR="00B92CD1" w:rsidRDefault="00000000">
      <w:pPr>
        <w:numPr>
          <w:ilvl w:val="0"/>
          <w:numId w:val="2"/>
        </w:numPr>
      </w:pPr>
      <w:r>
        <w:t xml:space="preserve">Monthly geotechnical inspections are completed by Mr </w:t>
      </w:r>
      <w:r w:rsidR="00BB4670">
        <w:t>ZZZZ</w:t>
      </w:r>
      <w:r>
        <w:t xml:space="preserve"> (Geotechnical Consultant) focusing on all longer-term and design geotechnical aspects of the operation and an overall inspection of the site. Additional, fortnightly geotechnical inspections are conducted by Mr </w:t>
      </w:r>
      <w:r w:rsidR="00BB4670">
        <w:t>ZZZZ</w:t>
      </w:r>
      <w:r>
        <w:t xml:space="preserve"> or another suitably qualified delegate with a focus on operational geotechnical risk management aspects of the mine. </w:t>
      </w:r>
    </w:p>
    <w:p w14:paraId="3A591A12" w14:textId="77777777" w:rsidR="00B92CD1" w:rsidRDefault="00000000">
      <w:pPr>
        <w:spacing w:after="170"/>
        <w:ind w:left="-5"/>
      </w:pPr>
      <w:r>
        <w:t xml:space="preserve">In consideration of the progress made to date in addressing these 2 Directives, I have extended the due dates for both Directives to EOM March 2019. It is expected the next drilling program of 15 </w:t>
      </w:r>
      <w:r>
        <w:lastRenderedPageBreak/>
        <w:t xml:space="preserve">holes will be completed by Dec 2018, data collected and collated by Jan 2019 and analysis completed by Feb 2019 allowing for update of the PHMP and GPL criteria. </w:t>
      </w:r>
    </w:p>
    <w:p w14:paraId="0749E68E" w14:textId="77777777" w:rsidR="00B92CD1" w:rsidRDefault="00000000">
      <w:pPr>
        <w:ind w:left="-5"/>
      </w:pPr>
      <w:r>
        <w:t xml:space="preserve">In the short term, Mr Darren Cuthbertson provided assurances that the current geotechnical risk management strategy is in accordance with the Geotechnical PHMP v9 document and adequately manages the risk of geotechnical failure. It is understood this PHMP will be significantly updated over the next few months and will include updated considerations for the geotechnical and groundwater models. </w:t>
      </w:r>
    </w:p>
    <w:p w14:paraId="391E8A09" w14:textId="77777777" w:rsidR="00B92CD1" w:rsidRDefault="00000000">
      <w:pPr>
        <w:tabs>
          <w:tab w:val="center" w:pos="720"/>
          <w:tab w:val="center" w:pos="1440"/>
          <w:tab w:val="center" w:pos="2160"/>
          <w:tab w:val="center" w:pos="5684"/>
        </w:tabs>
        <w:spacing w:after="107"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54223AB" wp14:editId="155F378F">
                <wp:simplePos x="0" y="0"/>
                <wp:positionH relativeFrom="column">
                  <wp:posOffset>2194306</wp:posOffset>
                </wp:positionH>
                <wp:positionV relativeFrom="paragraph">
                  <wp:posOffset>-59569</wp:posOffset>
                </wp:positionV>
                <wp:extent cx="1714568" cy="755726"/>
                <wp:effectExtent l="0" t="0" r="0" b="0"/>
                <wp:wrapSquare wrapText="bothSides"/>
                <wp:docPr id="1826" name="Group 1826"/>
                <wp:cNvGraphicFramePr/>
                <a:graphic xmlns:a="http://schemas.openxmlformats.org/drawingml/2006/main">
                  <a:graphicData uri="http://schemas.microsoft.com/office/word/2010/wordprocessingGroup">
                    <wpg:wgp>
                      <wpg:cNvGrpSpPr/>
                      <wpg:grpSpPr>
                        <a:xfrm>
                          <a:off x="0" y="0"/>
                          <a:ext cx="1714568" cy="755726"/>
                          <a:chOff x="0" y="0"/>
                          <a:chExt cx="1714568" cy="755726"/>
                        </a:xfrm>
                      </wpg:grpSpPr>
                      <wps:wsp>
                        <wps:cNvPr id="185" name="Rectangle 185"/>
                        <wps:cNvSpPr/>
                        <wps:spPr>
                          <a:xfrm>
                            <a:off x="92329" y="125415"/>
                            <a:ext cx="21283" cy="94240"/>
                          </a:xfrm>
                          <a:prstGeom prst="rect">
                            <a:avLst/>
                          </a:prstGeom>
                          <a:ln>
                            <a:noFill/>
                          </a:ln>
                        </wps:spPr>
                        <wps:txbx>
                          <w:txbxContent>
                            <w:p w14:paraId="00E313AA" w14:textId="77777777" w:rsidR="00B92CD1" w:rsidRDefault="00000000">
                              <w:pPr>
                                <w:spacing w:after="160" w:line="259" w:lineRule="auto"/>
                                <w:ind w:left="0" w:firstLine="0"/>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86" name="Rectangle 186"/>
                        <wps:cNvSpPr/>
                        <wps:spPr>
                          <a:xfrm>
                            <a:off x="549529" y="125415"/>
                            <a:ext cx="21283" cy="94240"/>
                          </a:xfrm>
                          <a:prstGeom prst="rect">
                            <a:avLst/>
                          </a:prstGeom>
                          <a:ln>
                            <a:noFill/>
                          </a:ln>
                        </wps:spPr>
                        <wps:txbx>
                          <w:txbxContent>
                            <w:p w14:paraId="2446F240" w14:textId="77777777" w:rsidR="00B92CD1" w:rsidRDefault="00000000">
                              <w:pPr>
                                <w:spacing w:after="160" w:line="259" w:lineRule="auto"/>
                                <w:ind w:left="0" w:firstLine="0"/>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87" name="Rectangle 187"/>
                        <wps:cNvSpPr/>
                        <wps:spPr>
                          <a:xfrm>
                            <a:off x="1006729" y="125415"/>
                            <a:ext cx="21283" cy="94240"/>
                          </a:xfrm>
                          <a:prstGeom prst="rect">
                            <a:avLst/>
                          </a:prstGeom>
                          <a:ln>
                            <a:noFill/>
                          </a:ln>
                        </wps:spPr>
                        <wps:txbx>
                          <w:txbxContent>
                            <w:p w14:paraId="30852CAA" w14:textId="77777777" w:rsidR="00B92CD1" w:rsidRDefault="00000000">
                              <w:pPr>
                                <w:spacing w:after="160" w:line="259" w:lineRule="auto"/>
                                <w:ind w:left="0" w:firstLine="0"/>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88" name="Rectangle 188"/>
                        <wps:cNvSpPr/>
                        <wps:spPr>
                          <a:xfrm>
                            <a:off x="1464183" y="125415"/>
                            <a:ext cx="21283" cy="94240"/>
                          </a:xfrm>
                          <a:prstGeom prst="rect">
                            <a:avLst/>
                          </a:prstGeom>
                          <a:ln>
                            <a:noFill/>
                          </a:ln>
                        </wps:spPr>
                        <wps:txbx>
                          <w:txbxContent>
                            <w:p w14:paraId="637F3402" w14:textId="77777777" w:rsidR="00B92CD1" w:rsidRDefault="00000000">
                              <w:pPr>
                                <w:spacing w:after="160" w:line="259" w:lineRule="auto"/>
                                <w:ind w:left="0" w:firstLine="0"/>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96" name="Rectangle 196"/>
                        <wps:cNvSpPr/>
                        <wps:spPr>
                          <a:xfrm>
                            <a:off x="92329" y="285631"/>
                            <a:ext cx="51809" cy="207922"/>
                          </a:xfrm>
                          <a:prstGeom prst="rect">
                            <a:avLst/>
                          </a:prstGeom>
                          <a:ln>
                            <a:noFill/>
                          </a:ln>
                        </wps:spPr>
                        <wps:txbx>
                          <w:txbxContent>
                            <w:p w14:paraId="36F69A4E" w14:textId="77777777" w:rsidR="00B92CD1"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97" name="Rectangle 197"/>
                        <wps:cNvSpPr/>
                        <wps:spPr>
                          <a:xfrm>
                            <a:off x="549529" y="285631"/>
                            <a:ext cx="51809" cy="207922"/>
                          </a:xfrm>
                          <a:prstGeom prst="rect">
                            <a:avLst/>
                          </a:prstGeom>
                          <a:ln>
                            <a:noFill/>
                          </a:ln>
                        </wps:spPr>
                        <wps:txbx>
                          <w:txbxContent>
                            <w:p w14:paraId="32C8132C" w14:textId="77777777" w:rsidR="00B92CD1"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98" name="Rectangle 198"/>
                        <wps:cNvSpPr/>
                        <wps:spPr>
                          <a:xfrm>
                            <a:off x="1006729" y="285631"/>
                            <a:ext cx="51809" cy="207922"/>
                          </a:xfrm>
                          <a:prstGeom prst="rect">
                            <a:avLst/>
                          </a:prstGeom>
                          <a:ln>
                            <a:noFill/>
                          </a:ln>
                        </wps:spPr>
                        <wps:txbx>
                          <w:txbxContent>
                            <w:p w14:paraId="119FBC30" w14:textId="77777777" w:rsidR="00B92CD1"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99" name="Rectangle 199"/>
                        <wps:cNvSpPr/>
                        <wps:spPr>
                          <a:xfrm>
                            <a:off x="1464183" y="285631"/>
                            <a:ext cx="51809" cy="207922"/>
                          </a:xfrm>
                          <a:prstGeom prst="rect">
                            <a:avLst/>
                          </a:prstGeom>
                          <a:ln>
                            <a:noFill/>
                          </a:ln>
                        </wps:spPr>
                        <wps:txbx>
                          <w:txbxContent>
                            <w:p w14:paraId="6DD72E69" w14:textId="77777777" w:rsidR="00B92CD1"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202" name="Rectangle 202"/>
                        <wps:cNvSpPr/>
                        <wps:spPr>
                          <a:xfrm>
                            <a:off x="866521" y="441251"/>
                            <a:ext cx="8615" cy="38144"/>
                          </a:xfrm>
                          <a:prstGeom prst="rect">
                            <a:avLst/>
                          </a:prstGeom>
                          <a:ln>
                            <a:noFill/>
                          </a:ln>
                        </wps:spPr>
                        <wps:txbx>
                          <w:txbxContent>
                            <w:p w14:paraId="22285704" w14:textId="77777777" w:rsidR="00B92CD1" w:rsidRDefault="00000000">
                              <w:pPr>
                                <w:spacing w:after="160" w:line="259" w:lineRule="auto"/>
                                <w:ind w:left="0" w:firstLine="0"/>
                              </w:pPr>
                              <w:r>
                                <w:rPr>
                                  <w:rFonts w:ascii="Times New Roman" w:eastAsia="Times New Roman" w:hAnsi="Times New Roman" w:cs="Times New Roman"/>
                                  <w:sz w:val="4"/>
                                </w:rPr>
                                <w:t xml:space="preserve"> </w:t>
                              </w:r>
                            </w:p>
                          </w:txbxContent>
                        </wps:txbx>
                        <wps:bodyPr horzOverflow="overflow" vert="horz" lIns="0" tIns="0" rIns="0" bIns="0" rtlCol="0">
                          <a:noAutofit/>
                        </wps:bodyPr>
                      </wps:wsp>
                      <pic:pic xmlns:pic="http://schemas.openxmlformats.org/drawingml/2006/picture">
                        <pic:nvPicPr>
                          <pic:cNvPr id="208" name="Picture 208"/>
                          <pic:cNvPicPr/>
                        </pic:nvPicPr>
                        <pic:blipFill>
                          <a:blip r:embed="rId6"/>
                          <a:stretch>
                            <a:fillRect/>
                          </a:stretch>
                        </pic:blipFill>
                        <pic:spPr>
                          <a:xfrm>
                            <a:off x="0" y="0"/>
                            <a:ext cx="1714568" cy="755726"/>
                          </a:xfrm>
                          <a:prstGeom prst="rect">
                            <a:avLst/>
                          </a:prstGeom>
                        </pic:spPr>
                      </pic:pic>
                    </wpg:wgp>
                  </a:graphicData>
                </a:graphic>
              </wp:anchor>
            </w:drawing>
          </mc:Choice>
          <mc:Fallback xmlns:a="http://schemas.openxmlformats.org/drawingml/2006/main">
            <w:pict>
              <v:group id="Group 1826" style="width:135.005pt;height:59.506pt;position:absolute;mso-position-horizontal-relative:text;mso-position-horizontal:absolute;margin-left:172.78pt;mso-position-vertical-relative:text;margin-top:-4.69055pt;" coordsize="17145,7557">
                <v:rect id="Rectangle 185" style="position:absolute;width:212;height:942;left:923;top:1254;" filled="f" stroked="f">
                  <v:textbox inset="0,0,0,0">
                    <w:txbxContent>
                      <w:p>
                        <w:pPr>
                          <w:spacing w:before="0" w:after="160" w:line="259" w:lineRule="auto"/>
                          <w:ind w:left="0" w:firstLine="0"/>
                        </w:pPr>
                        <w:r>
                          <w:rPr>
                            <w:rFonts w:cs="Times New Roman" w:hAnsi="Times New Roman" w:eastAsia="Times New Roman" w:ascii="Times New Roman"/>
                            <w:sz w:val="10"/>
                          </w:rPr>
                          <w:t xml:space="preserve"> </w:t>
                        </w:r>
                      </w:p>
                    </w:txbxContent>
                  </v:textbox>
                </v:rect>
                <v:rect id="Rectangle 186" style="position:absolute;width:212;height:942;left:5495;top:1254;" filled="f" stroked="f">
                  <v:textbox inset="0,0,0,0">
                    <w:txbxContent>
                      <w:p>
                        <w:pPr>
                          <w:spacing w:before="0" w:after="160" w:line="259" w:lineRule="auto"/>
                          <w:ind w:left="0" w:firstLine="0"/>
                        </w:pPr>
                        <w:r>
                          <w:rPr>
                            <w:rFonts w:cs="Times New Roman" w:hAnsi="Times New Roman" w:eastAsia="Times New Roman" w:ascii="Times New Roman"/>
                            <w:sz w:val="10"/>
                          </w:rPr>
                          <w:t xml:space="preserve"> </w:t>
                        </w:r>
                      </w:p>
                    </w:txbxContent>
                  </v:textbox>
                </v:rect>
                <v:rect id="Rectangle 187" style="position:absolute;width:212;height:942;left:10067;top:1254;" filled="f" stroked="f">
                  <v:textbox inset="0,0,0,0">
                    <w:txbxContent>
                      <w:p>
                        <w:pPr>
                          <w:spacing w:before="0" w:after="160" w:line="259" w:lineRule="auto"/>
                          <w:ind w:left="0" w:firstLine="0"/>
                        </w:pPr>
                        <w:r>
                          <w:rPr>
                            <w:rFonts w:cs="Times New Roman" w:hAnsi="Times New Roman" w:eastAsia="Times New Roman" w:ascii="Times New Roman"/>
                            <w:sz w:val="10"/>
                          </w:rPr>
                          <w:t xml:space="preserve"> </w:t>
                        </w:r>
                      </w:p>
                    </w:txbxContent>
                  </v:textbox>
                </v:rect>
                <v:rect id="Rectangle 188" style="position:absolute;width:212;height:942;left:14641;top:1254;" filled="f" stroked="f">
                  <v:textbox inset="0,0,0,0">
                    <w:txbxContent>
                      <w:p>
                        <w:pPr>
                          <w:spacing w:before="0" w:after="160" w:line="259" w:lineRule="auto"/>
                          <w:ind w:left="0" w:firstLine="0"/>
                        </w:pPr>
                        <w:r>
                          <w:rPr>
                            <w:rFonts w:cs="Times New Roman" w:hAnsi="Times New Roman" w:eastAsia="Times New Roman" w:ascii="Times New Roman"/>
                            <w:sz w:val="10"/>
                          </w:rPr>
                          <w:t xml:space="preserve"> </w:t>
                        </w:r>
                      </w:p>
                    </w:txbxContent>
                  </v:textbox>
                </v:rect>
                <v:rect id="Rectangle 196" style="position:absolute;width:518;height:2079;left:923;top:285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97" style="position:absolute;width:518;height:2079;left:5495;top:285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98" style="position:absolute;width:518;height:2079;left:10067;top:285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99" style="position:absolute;width:518;height:2079;left:14641;top:285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02" style="position:absolute;width:86;height:381;left:8665;top:4412;" filled="f" stroked="f">
                  <v:textbox inset="0,0,0,0">
                    <w:txbxContent>
                      <w:p>
                        <w:pPr>
                          <w:spacing w:before="0" w:after="160" w:line="259" w:lineRule="auto"/>
                          <w:ind w:left="0" w:firstLine="0"/>
                        </w:pPr>
                        <w:r>
                          <w:rPr>
                            <w:rFonts w:cs="Times New Roman" w:hAnsi="Times New Roman" w:eastAsia="Times New Roman" w:ascii="Times New Roman"/>
                            <w:sz w:val="4"/>
                          </w:rPr>
                          <w:t xml:space="preserve"> </w:t>
                        </w:r>
                      </w:p>
                    </w:txbxContent>
                  </v:textbox>
                </v:rect>
                <v:shape id="Picture 208" style="position:absolute;width:17145;height:7557;left:0;top:0;" filled="f">
                  <v:imagedata r:id="rId7"/>
                </v:shape>
                <w10:wrap type="square"/>
              </v:group>
            </w:pict>
          </mc:Fallback>
        </mc:AlternateContent>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6"/>
          <w:vertAlign w:val="subscript"/>
        </w:rPr>
        <w:t xml:space="preserve"> </w:t>
      </w:r>
      <w:r>
        <w:rPr>
          <w:rFonts w:ascii="Times New Roman" w:eastAsia="Times New Roman" w:hAnsi="Times New Roman" w:cs="Times New Roman"/>
          <w:sz w:val="16"/>
          <w:vertAlign w:val="subscript"/>
        </w:rPr>
        <w:tab/>
        <w:t xml:space="preserve"> </w:t>
      </w:r>
      <w:r>
        <w:rPr>
          <w:rFonts w:ascii="Times New Roman" w:eastAsia="Times New Roman" w:hAnsi="Times New Roman" w:cs="Times New Roman"/>
          <w:sz w:val="16"/>
          <w:vertAlign w:val="subscript"/>
        </w:rPr>
        <w:tab/>
        <w:t xml:space="preserve"> </w:t>
      </w:r>
      <w:r>
        <w:rPr>
          <w:rFonts w:ascii="Times New Roman" w:eastAsia="Times New Roman" w:hAnsi="Times New Roman" w:cs="Times New Roman"/>
          <w:sz w:val="16"/>
          <w:vertAlign w:val="subscript"/>
        </w:rPr>
        <w:tab/>
        <w:t xml:space="preserve"> </w:t>
      </w:r>
      <w:r>
        <w:rPr>
          <w:b/>
        </w:rPr>
        <w:t xml:space="preserve">Jacqui Vinnicombe </w:t>
      </w:r>
    </w:p>
    <w:p w14:paraId="63A25ACD" w14:textId="77777777" w:rsidR="00B92CD1" w:rsidRDefault="00000000">
      <w:pPr>
        <w:tabs>
          <w:tab w:val="center" w:pos="720"/>
          <w:tab w:val="center" w:pos="1440"/>
          <w:tab w:val="center" w:pos="2160"/>
          <w:tab w:val="center" w:pos="5564"/>
        </w:tabs>
        <w:spacing w:after="33"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sz w:val="20"/>
        </w:rPr>
        <w:t>Inspector of Mines</w:t>
      </w:r>
      <w:r>
        <w:rPr>
          <w:rFonts w:ascii="Times New Roman" w:eastAsia="Times New Roman" w:hAnsi="Times New Roman" w:cs="Times New Roman"/>
          <w:sz w:val="4"/>
        </w:rPr>
        <w:t xml:space="preserve"> </w:t>
      </w:r>
    </w:p>
    <w:p w14:paraId="66825B03" w14:textId="77777777" w:rsidR="00B92CD1" w:rsidRDefault="00000000">
      <w:pPr>
        <w:spacing w:after="34" w:line="232" w:lineRule="auto"/>
        <w:ind w:left="0" w:right="3472" w:firstLine="0"/>
      </w:pPr>
      <w:r>
        <w:t xml:space="preserve"> </w:t>
      </w:r>
      <w:r>
        <w:rPr>
          <w:rFonts w:ascii="Times New Roman" w:eastAsia="Times New Roman" w:hAnsi="Times New Roman" w:cs="Times New Roman"/>
          <w:sz w:val="24"/>
        </w:rPr>
        <w:t xml:space="preserve"> </w:t>
      </w:r>
    </w:p>
    <w:p w14:paraId="31EA7B8D" w14:textId="77777777" w:rsidR="00B92CD1" w:rsidRDefault="00000000">
      <w:pPr>
        <w:spacing w:after="0" w:line="259" w:lineRule="auto"/>
        <w:ind w:left="57" w:firstLine="0"/>
        <w:jc w:val="center"/>
      </w:pPr>
      <w:r>
        <w:rPr>
          <w:i/>
          <w:sz w:val="16"/>
        </w:rPr>
        <w:t xml:space="preserve"> </w:t>
      </w:r>
    </w:p>
    <w:p w14:paraId="0B929490" w14:textId="77777777" w:rsidR="00B92CD1" w:rsidRDefault="00000000">
      <w:pPr>
        <w:spacing w:after="3" w:line="259" w:lineRule="auto"/>
        <w:ind w:left="23" w:right="10"/>
        <w:jc w:val="center"/>
      </w:pPr>
      <w:r>
        <w:rPr>
          <w:i/>
          <w:sz w:val="16"/>
        </w:rPr>
        <w:t xml:space="preserve">Queensland Department of Natural Resources, Mines and Energy, Resources Safety and Health, Mines Inspectorate, </w:t>
      </w:r>
    </w:p>
    <w:p w14:paraId="1159FE9B" w14:textId="77777777" w:rsidR="00B92CD1" w:rsidRDefault="00000000">
      <w:pPr>
        <w:spacing w:after="0" w:line="259" w:lineRule="auto"/>
        <w:ind w:left="13" w:firstLine="0"/>
        <w:jc w:val="center"/>
      </w:pPr>
      <w:r>
        <w:rPr>
          <w:b/>
          <w:i/>
          <w:sz w:val="16"/>
        </w:rPr>
        <w:t xml:space="preserve">Mine Record Entry  </w:t>
      </w:r>
    </w:p>
    <w:p w14:paraId="44892CD1" w14:textId="77777777" w:rsidR="00B92CD1" w:rsidRDefault="00000000">
      <w:pPr>
        <w:spacing w:after="3" w:line="259" w:lineRule="auto"/>
        <w:ind w:left="23"/>
        <w:jc w:val="center"/>
      </w:pPr>
      <w:r>
        <w:rPr>
          <w:i/>
          <w:sz w:val="16"/>
        </w:rPr>
        <w:t xml:space="preserve">Page 1 of 1  </w:t>
      </w:r>
    </w:p>
    <w:sectPr w:rsidR="00B92CD1">
      <w:pgSz w:w="11906" w:h="16841"/>
      <w:pgMar w:top="1440" w:right="1146"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11F"/>
    <w:multiLevelType w:val="hybridMultilevel"/>
    <w:tmpl w:val="50C2BA86"/>
    <w:lvl w:ilvl="0" w:tplc="2E3038A4">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28585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A1B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8006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82B9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088BA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5482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54D6E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8C645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B204F1"/>
    <w:multiLevelType w:val="hybridMultilevel"/>
    <w:tmpl w:val="67967DC6"/>
    <w:lvl w:ilvl="0" w:tplc="BBF07B66">
      <w:start w:val="1"/>
      <w:numFmt w:val="decimal"/>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485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D290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80B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208A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7A65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5A9C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22E9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1E69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647444157">
    <w:abstractNumId w:val="1"/>
  </w:num>
  <w:num w:numId="2" w16cid:durableId="7787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D1"/>
    <w:rsid w:val="000B4BDA"/>
    <w:rsid w:val="00B92CD1"/>
    <w:rsid w:val="00BB4670"/>
    <w:rsid w:val="00DF4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BB9F"/>
  <w15:docId w15:val="{7CA7D6E8-77E8-4184-A5EA-BD1C8C41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&amp; Health Division, Mines Inspectorate</dc:title>
  <dc:subject/>
  <dc:creator>VINNICOMBE Jacqui</dc:creator>
  <cp:keywords/>
  <cp:lastModifiedBy>Stuart Vaccaneo</cp:lastModifiedBy>
  <cp:revision>3</cp:revision>
  <dcterms:created xsi:type="dcterms:W3CDTF">2023-08-10T21:45:00Z</dcterms:created>
  <dcterms:modified xsi:type="dcterms:W3CDTF">2023-08-10T21:46:00Z</dcterms:modified>
</cp:coreProperties>
</file>