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3006" w14:textId="77777777" w:rsidR="004654E6" w:rsidRDefault="00000000">
      <w:pPr>
        <w:spacing w:after="0" w:line="259" w:lineRule="auto"/>
        <w:ind w:left="0" w:firstLine="0"/>
      </w:pPr>
      <w:r>
        <w:rPr>
          <w:rFonts w:ascii="Times New Roman" w:eastAsia="Times New Roman" w:hAnsi="Times New Roman" w:cs="Times New Roman"/>
          <w:sz w:val="24"/>
        </w:rPr>
        <w:t xml:space="preserve"> </w:t>
      </w:r>
    </w:p>
    <w:p w14:paraId="262B491F" w14:textId="77777777" w:rsidR="004654E6" w:rsidRDefault="00000000">
      <w:pPr>
        <w:spacing w:after="0" w:line="259" w:lineRule="auto"/>
        <w:ind w:left="2199" w:firstLine="0"/>
        <w:jc w:val="center"/>
      </w:pPr>
      <w:r>
        <w:rPr>
          <w:noProof/>
        </w:rPr>
        <w:drawing>
          <wp:anchor distT="0" distB="0" distL="114300" distR="114300" simplePos="0" relativeHeight="251658240" behindDoc="0" locked="0" layoutInCell="1" allowOverlap="0" wp14:anchorId="2332E88C" wp14:editId="730FFC7A">
            <wp:simplePos x="0" y="0"/>
            <wp:positionH relativeFrom="column">
              <wp:posOffset>-20827</wp:posOffset>
            </wp:positionH>
            <wp:positionV relativeFrom="paragraph">
              <wp:posOffset>-20891</wp:posOffset>
            </wp:positionV>
            <wp:extent cx="1647825" cy="542290"/>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5"/>
                    <a:stretch>
                      <a:fillRect/>
                    </a:stretch>
                  </pic:blipFill>
                  <pic:spPr>
                    <a:xfrm>
                      <a:off x="0" y="0"/>
                      <a:ext cx="1647825" cy="542290"/>
                    </a:xfrm>
                    <a:prstGeom prst="rect">
                      <a:avLst/>
                    </a:prstGeom>
                  </pic:spPr>
                </pic:pic>
              </a:graphicData>
            </a:graphic>
          </wp:anchor>
        </w:drawing>
      </w:r>
      <w:r>
        <w:rPr>
          <w:b/>
          <w:sz w:val="18"/>
        </w:rPr>
        <w:t xml:space="preserve"> </w:t>
      </w:r>
    </w:p>
    <w:p w14:paraId="65A0F650" w14:textId="77777777" w:rsidR="004654E6" w:rsidRDefault="00000000">
      <w:pPr>
        <w:spacing w:after="0" w:line="259" w:lineRule="auto"/>
        <w:ind w:left="3224" w:firstLine="0"/>
        <w:jc w:val="center"/>
      </w:pPr>
      <w:r>
        <w:rPr>
          <w:b/>
          <w:sz w:val="16"/>
        </w:rPr>
        <w:t xml:space="preserve">Mackay Office </w:t>
      </w:r>
    </w:p>
    <w:p w14:paraId="6B1642E9" w14:textId="77777777" w:rsidR="004654E6" w:rsidRDefault="00000000">
      <w:pPr>
        <w:spacing w:after="67" w:line="259" w:lineRule="auto"/>
      </w:pPr>
      <w:r>
        <w:rPr>
          <w:sz w:val="16"/>
        </w:rPr>
        <w:t xml:space="preserve">P.O. Box 1801, Mackay, QLD 4740 </w:t>
      </w:r>
    </w:p>
    <w:p w14:paraId="5011DB68" w14:textId="77777777" w:rsidR="004654E6" w:rsidRDefault="00000000">
      <w:pPr>
        <w:tabs>
          <w:tab w:val="center" w:pos="2576"/>
          <w:tab w:val="center" w:pos="7387"/>
        </w:tabs>
        <w:spacing w:after="115" w:line="259" w:lineRule="auto"/>
        <w:ind w:left="0" w:firstLine="0"/>
      </w:pPr>
      <w:r>
        <w:rPr>
          <w:rFonts w:ascii="Calibri" w:eastAsia="Calibri" w:hAnsi="Calibri" w:cs="Calibri"/>
        </w:rPr>
        <w:tab/>
      </w:r>
      <w:r>
        <w:rPr>
          <w:sz w:val="20"/>
        </w:rPr>
        <w:t xml:space="preserve"> </w:t>
      </w:r>
      <w:r>
        <w:rPr>
          <w:sz w:val="20"/>
        </w:rPr>
        <w:tab/>
      </w:r>
      <w:r>
        <w:rPr>
          <w:sz w:val="16"/>
        </w:rPr>
        <w:t>Phone: 07 4999 8512,   Fax: 07 49998519</w:t>
      </w:r>
      <w:r>
        <w:rPr>
          <w:sz w:val="20"/>
        </w:rPr>
        <w:t xml:space="preserve"> </w:t>
      </w:r>
    </w:p>
    <w:p w14:paraId="581AFADF" w14:textId="77777777" w:rsidR="004654E6" w:rsidRDefault="00000000">
      <w:pPr>
        <w:spacing w:after="129" w:line="259" w:lineRule="auto"/>
        <w:ind w:left="74" w:firstLine="0"/>
      </w:pPr>
      <w:r>
        <w:rPr>
          <w:b/>
          <w:sz w:val="16"/>
        </w:rPr>
        <w:t xml:space="preserve"> </w:t>
      </w:r>
    </w:p>
    <w:p w14:paraId="1E1731E7" w14:textId="77777777" w:rsidR="004654E6" w:rsidRDefault="00000000">
      <w:pPr>
        <w:spacing w:after="0" w:line="259" w:lineRule="auto"/>
        <w:ind w:left="0" w:firstLine="0"/>
      </w:pPr>
      <w:r>
        <w:rPr>
          <w:sz w:val="4"/>
        </w:rPr>
        <w:t xml:space="preserve"> </w:t>
      </w:r>
    </w:p>
    <w:tbl>
      <w:tblPr>
        <w:tblStyle w:val="TableGrid"/>
        <w:tblW w:w="9333" w:type="dxa"/>
        <w:tblInd w:w="26" w:type="dxa"/>
        <w:tblCellMar>
          <w:top w:w="31" w:type="dxa"/>
          <w:left w:w="0" w:type="dxa"/>
          <w:bottom w:w="0" w:type="dxa"/>
          <w:right w:w="115" w:type="dxa"/>
        </w:tblCellMar>
        <w:tblLook w:val="04A0" w:firstRow="1" w:lastRow="0" w:firstColumn="1" w:lastColumn="0" w:noHBand="0" w:noVBand="1"/>
      </w:tblPr>
      <w:tblGrid>
        <w:gridCol w:w="2749"/>
        <w:gridCol w:w="965"/>
        <w:gridCol w:w="1865"/>
        <w:gridCol w:w="2369"/>
        <w:gridCol w:w="1385"/>
      </w:tblGrid>
      <w:tr w:rsidR="004654E6" w14:paraId="0CC2FBB4" w14:textId="77777777">
        <w:trPr>
          <w:trHeight w:val="271"/>
        </w:trPr>
        <w:tc>
          <w:tcPr>
            <w:tcW w:w="2749" w:type="dxa"/>
            <w:tcBorders>
              <w:top w:val="single" w:sz="12" w:space="0" w:color="000000"/>
              <w:left w:val="nil"/>
              <w:bottom w:val="single" w:sz="12" w:space="0" w:color="000000"/>
              <w:right w:val="nil"/>
            </w:tcBorders>
          </w:tcPr>
          <w:p w14:paraId="7AE22C2D" w14:textId="77777777" w:rsidR="004654E6" w:rsidRDefault="00000000">
            <w:pPr>
              <w:spacing w:after="0" w:line="259" w:lineRule="auto"/>
              <w:ind w:left="96" w:firstLine="0"/>
            </w:pPr>
            <w:r>
              <w:rPr>
                <w:b/>
                <w:sz w:val="20"/>
              </w:rPr>
              <w:t xml:space="preserve">Mine Name </w:t>
            </w:r>
          </w:p>
        </w:tc>
        <w:tc>
          <w:tcPr>
            <w:tcW w:w="965" w:type="dxa"/>
            <w:tcBorders>
              <w:top w:val="single" w:sz="12" w:space="0" w:color="000000"/>
              <w:left w:val="nil"/>
              <w:bottom w:val="single" w:sz="12" w:space="0" w:color="000000"/>
              <w:right w:val="nil"/>
            </w:tcBorders>
          </w:tcPr>
          <w:p w14:paraId="51C5C291" w14:textId="77777777" w:rsidR="004654E6" w:rsidRDefault="00000000">
            <w:pPr>
              <w:spacing w:after="0" w:line="259" w:lineRule="auto"/>
              <w:ind w:left="0" w:firstLine="0"/>
            </w:pPr>
            <w:r>
              <w:rPr>
                <w:b/>
                <w:sz w:val="20"/>
              </w:rPr>
              <w:t xml:space="preserve">MineID </w:t>
            </w:r>
          </w:p>
        </w:tc>
        <w:tc>
          <w:tcPr>
            <w:tcW w:w="1865" w:type="dxa"/>
            <w:tcBorders>
              <w:top w:val="single" w:sz="12" w:space="0" w:color="000000"/>
              <w:left w:val="nil"/>
              <w:bottom w:val="single" w:sz="12" w:space="0" w:color="000000"/>
              <w:right w:val="nil"/>
            </w:tcBorders>
          </w:tcPr>
          <w:p w14:paraId="2AC61735" w14:textId="77777777" w:rsidR="004654E6" w:rsidRDefault="00000000">
            <w:pPr>
              <w:spacing w:after="0" w:line="259" w:lineRule="auto"/>
              <w:ind w:left="223" w:firstLine="0"/>
            </w:pPr>
            <w:r>
              <w:rPr>
                <w:b/>
                <w:sz w:val="20"/>
              </w:rPr>
              <w:t xml:space="preserve">Operator </w:t>
            </w:r>
          </w:p>
        </w:tc>
        <w:tc>
          <w:tcPr>
            <w:tcW w:w="2369" w:type="dxa"/>
            <w:tcBorders>
              <w:top w:val="single" w:sz="12" w:space="0" w:color="000000"/>
              <w:left w:val="nil"/>
              <w:bottom w:val="single" w:sz="12" w:space="0" w:color="000000"/>
              <w:right w:val="nil"/>
            </w:tcBorders>
          </w:tcPr>
          <w:p w14:paraId="0C7520A0" w14:textId="77777777" w:rsidR="004654E6" w:rsidRDefault="00000000">
            <w:pPr>
              <w:spacing w:after="0" w:line="259" w:lineRule="auto"/>
              <w:ind w:left="286" w:firstLine="0"/>
            </w:pPr>
            <w:r>
              <w:rPr>
                <w:b/>
                <w:sz w:val="20"/>
              </w:rPr>
              <w:t xml:space="preserve">Activity Type </w:t>
            </w:r>
          </w:p>
        </w:tc>
        <w:tc>
          <w:tcPr>
            <w:tcW w:w="1385" w:type="dxa"/>
            <w:tcBorders>
              <w:top w:val="single" w:sz="12" w:space="0" w:color="000000"/>
              <w:left w:val="nil"/>
              <w:bottom w:val="single" w:sz="12" w:space="0" w:color="000000"/>
              <w:right w:val="nil"/>
            </w:tcBorders>
          </w:tcPr>
          <w:p w14:paraId="047161D6" w14:textId="77777777" w:rsidR="004654E6" w:rsidRDefault="00000000">
            <w:pPr>
              <w:spacing w:after="0" w:line="259" w:lineRule="auto"/>
              <w:ind w:left="0" w:firstLine="0"/>
            </w:pPr>
            <w:r>
              <w:rPr>
                <w:b/>
                <w:sz w:val="20"/>
              </w:rPr>
              <w:t xml:space="preserve">Activity Date </w:t>
            </w:r>
          </w:p>
        </w:tc>
      </w:tr>
      <w:tr w:rsidR="004654E6" w14:paraId="4474683C" w14:textId="77777777">
        <w:trPr>
          <w:trHeight w:val="751"/>
        </w:trPr>
        <w:tc>
          <w:tcPr>
            <w:tcW w:w="2749" w:type="dxa"/>
            <w:tcBorders>
              <w:top w:val="single" w:sz="12" w:space="0" w:color="000000"/>
              <w:left w:val="nil"/>
              <w:bottom w:val="single" w:sz="12" w:space="0" w:color="000000"/>
              <w:right w:val="nil"/>
            </w:tcBorders>
          </w:tcPr>
          <w:p w14:paraId="2F3EDB45" w14:textId="77777777" w:rsidR="004654E6" w:rsidRDefault="00000000">
            <w:pPr>
              <w:spacing w:after="0" w:line="259" w:lineRule="auto"/>
              <w:ind w:left="96" w:firstLine="0"/>
            </w:pPr>
            <w:r>
              <w:rPr>
                <w:sz w:val="16"/>
              </w:rPr>
              <w:t xml:space="preserve">Middlemount Mine </w:t>
            </w:r>
          </w:p>
        </w:tc>
        <w:tc>
          <w:tcPr>
            <w:tcW w:w="965" w:type="dxa"/>
            <w:tcBorders>
              <w:top w:val="single" w:sz="12" w:space="0" w:color="000000"/>
              <w:left w:val="nil"/>
              <w:bottom w:val="single" w:sz="12" w:space="0" w:color="000000"/>
              <w:right w:val="nil"/>
            </w:tcBorders>
          </w:tcPr>
          <w:p w14:paraId="196EA65C" w14:textId="77777777" w:rsidR="004654E6" w:rsidRDefault="00000000">
            <w:pPr>
              <w:spacing w:after="0" w:line="259" w:lineRule="auto"/>
              <w:ind w:left="34" w:firstLine="0"/>
            </w:pPr>
            <w:r>
              <w:rPr>
                <w:sz w:val="16"/>
              </w:rPr>
              <w:t xml:space="preserve">MI01865 </w:t>
            </w:r>
          </w:p>
        </w:tc>
        <w:tc>
          <w:tcPr>
            <w:tcW w:w="1865" w:type="dxa"/>
            <w:tcBorders>
              <w:top w:val="single" w:sz="12" w:space="0" w:color="000000"/>
              <w:left w:val="nil"/>
              <w:bottom w:val="single" w:sz="12" w:space="0" w:color="000000"/>
              <w:right w:val="nil"/>
            </w:tcBorders>
          </w:tcPr>
          <w:p w14:paraId="44F0C50E" w14:textId="77777777" w:rsidR="004654E6" w:rsidRDefault="00000000">
            <w:pPr>
              <w:spacing w:after="40" w:line="259" w:lineRule="auto"/>
              <w:ind w:left="0" w:firstLine="0"/>
            </w:pPr>
            <w:r>
              <w:rPr>
                <w:sz w:val="16"/>
              </w:rPr>
              <w:t xml:space="preserve">Middlemount Coal </w:t>
            </w:r>
          </w:p>
          <w:p w14:paraId="63C47550" w14:textId="77777777" w:rsidR="004654E6" w:rsidRDefault="00000000">
            <w:pPr>
              <w:spacing w:after="40" w:line="259" w:lineRule="auto"/>
              <w:ind w:left="396" w:firstLine="0"/>
            </w:pPr>
            <w:r>
              <w:rPr>
                <w:sz w:val="16"/>
              </w:rPr>
              <w:t xml:space="preserve">Pty Ltd </w:t>
            </w:r>
          </w:p>
          <w:p w14:paraId="02D565FE" w14:textId="77777777" w:rsidR="004654E6" w:rsidRDefault="00000000">
            <w:pPr>
              <w:spacing w:after="0" w:line="259" w:lineRule="auto"/>
              <w:ind w:left="646" w:firstLine="0"/>
            </w:pPr>
            <w:r>
              <w:rPr>
                <w:sz w:val="16"/>
              </w:rPr>
              <w:t xml:space="preserve"> </w:t>
            </w:r>
          </w:p>
        </w:tc>
        <w:tc>
          <w:tcPr>
            <w:tcW w:w="2369" w:type="dxa"/>
            <w:tcBorders>
              <w:top w:val="single" w:sz="12" w:space="0" w:color="000000"/>
              <w:left w:val="nil"/>
              <w:bottom w:val="single" w:sz="12" w:space="0" w:color="000000"/>
              <w:right w:val="nil"/>
            </w:tcBorders>
          </w:tcPr>
          <w:p w14:paraId="4FB67247" w14:textId="77777777" w:rsidR="004654E6" w:rsidRDefault="00000000">
            <w:pPr>
              <w:spacing w:after="0" w:line="259" w:lineRule="auto"/>
              <w:ind w:left="0" w:firstLine="0"/>
            </w:pPr>
            <w:r>
              <w:rPr>
                <w:sz w:val="16"/>
              </w:rPr>
              <w:t xml:space="preserve">Postal Mine Record Entry   </w:t>
            </w:r>
          </w:p>
        </w:tc>
        <w:tc>
          <w:tcPr>
            <w:tcW w:w="1385" w:type="dxa"/>
            <w:tcBorders>
              <w:top w:val="single" w:sz="12" w:space="0" w:color="000000"/>
              <w:left w:val="nil"/>
              <w:bottom w:val="single" w:sz="12" w:space="0" w:color="000000"/>
              <w:right w:val="nil"/>
            </w:tcBorders>
          </w:tcPr>
          <w:p w14:paraId="254ADFB2" w14:textId="77777777" w:rsidR="004654E6" w:rsidRDefault="00000000">
            <w:pPr>
              <w:spacing w:after="0" w:line="259" w:lineRule="auto"/>
              <w:ind w:left="204" w:firstLine="0"/>
            </w:pPr>
            <w:r>
              <w:rPr>
                <w:sz w:val="16"/>
              </w:rPr>
              <w:t xml:space="preserve">21/03/2019 </w:t>
            </w:r>
          </w:p>
        </w:tc>
      </w:tr>
    </w:tbl>
    <w:p w14:paraId="40CFA4F5" w14:textId="77777777" w:rsidR="004654E6" w:rsidRDefault="00000000">
      <w:pPr>
        <w:spacing w:after="0" w:line="259" w:lineRule="auto"/>
        <w:ind w:left="0" w:firstLine="0"/>
      </w:pPr>
      <w:r>
        <w:rPr>
          <w:rFonts w:ascii="Times New Roman" w:eastAsia="Times New Roman" w:hAnsi="Times New Roman" w:cs="Times New Roman"/>
          <w:sz w:val="4"/>
        </w:rPr>
        <w:t xml:space="preserve"> </w:t>
      </w:r>
    </w:p>
    <w:p w14:paraId="78F818B4" w14:textId="77777777" w:rsidR="004654E6" w:rsidRDefault="00000000">
      <w:pPr>
        <w:spacing w:after="167" w:line="259" w:lineRule="auto"/>
        <w:ind w:left="0" w:firstLine="0"/>
      </w:pPr>
      <w:r>
        <w:rPr>
          <w:rFonts w:ascii="Times New Roman" w:eastAsia="Times New Roman" w:hAnsi="Times New Roman" w:cs="Times New Roman"/>
          <w:sz w:val="4"/>
        </w:rPr>
        <w:t xml:space="preserve"> </w:t>
      </w:r>
    </w:p>
    <w:p w14:paraId="60D89917" w14:textId="77777777" w:rsidR="004654E6" w:rsidRDefault="00000000">
      <w:pPr>
        <w:spacing w:after="0" w:line="237" w:lineRule="auto"/>
        <w:ind w:left="2699" w:right="1433" w:hanging="73"/>
      </w:pPr>
      <w:r>
        <w:rPr>
          <w:b/>
          <w:i/>
          <w:color w:val="008000"/>
          <w:sz w:val="16"/>
        </w:rPr>
        <w:t xml:space="preserve">Vision: Our Industries Free of Safety and Health Incidents  </w:t>
      </w:r>
      <w:r>
        <w:rPr>
          <w:b/>
          <w:sz w:val="48"/>
        </w:rPr>
        <w:t xml:space="preserve">Mine Record Entry </w:t>
      </w:r>
    </w:p>
    <w:p w14:paraId="7075F02D" w14:textId="77777777" w:rsidR="004654E6" w:rsidRDefault="00000000">
      <w:pPr>
        <w:spacing w:after="177" w:line="242" w:lineRule="auto"/>
        <w:jc w:val="center"/>
      </w:pPr>
      <w:r>
        <w:rPr>
          <w:b/>
          <w:sz w:val="20"/>
        </w:rPr>
        <w:t xml:space="preserve">This report forms part of the Mine Record under s68 of the Coal Mining Safety and Health Act 1999.  It must be placed in the Mine Record and displayed on Safety Notice Boards. </w:t>
      </w:r>
    </w:p>
    <w:p w14:paraId="778BF2F8" w14:textId="77777777" w:rsidR="004654E6" w:rsidRDefault="00000000">
      <w:pPr>
        <w:spacing w:after="137" w:line="242" w:lineRule="auto"/>
        <w:jc w:val="center"/>
      </w:pPr>
      <w:r>
        <w:rPr>
          <w:b/>
          <w:sz w:val="20"/>
        </w:rPr>
        <w:t xml:space="preserve">Note that inspection or audit activities conducted by the Mines Inspectorate are based upon sample techniques.  It remains the primary responsibility of Mine Personnel to identify hazards, and risks associated with Operations and ensure those risks are at an acceptable level. </w:t>
      </w:r>
    </w:p>
    <w:p w14:paraId="4EF5016A" w14:textId="77777777" w:rsidR="004654E6" w:rsidRDefault="00000000">
      <w:pPr>
        <w:spacing w:after="40" w:line="259" w:lineRule="auto"/>
        <w:ind w:left="0" w:firstLine="0"/>
      </w:pPr>
      <w:r>
        <w:rPr>
          <w:b/>
        </w:rPr>
        <w:t xml:space="preserve"> </w:t>
      </w:r>
    </w:p>
    <w:p w14:paraId="284419F3" w14:textId="77777777" w:rsidR="004654E6" w:rsidRDefault="00000000">
      <w:pPr>
        <w:spacing w:after="9"/>
        <w:ind w:left="-5"/>
      </w:pPr>
      <w:r>
        <w:t xml:space="preserve">This Postal Mine Record Entry provides details of a teleconference held between myself, Jacqui </w:t>
      </w:r>
    </w:p>
    <w:p w14:paraId="57A43BF8" w14:textId="77777777" w:rsidR="004654E6" w:rsidRDefault="00000000">
      <w:pPr>
        <w:spacing w:after="9"/>
        <w:ind w:left="-5"/>
      </w:pPr>
      <w:r>
        <w:t xml:space="preserve">Vinnicombe (Inspector of Mines – Mining/Geotechnical), Mr Darren Cuthbertson (Site Senior </w:t>
      </w:r>
    </w:p>
    <w:p w14:paraId="529D77E1" w14:textId="0E37B3BB" w:rsidR="004654E6" w:rsidRDefault="00000000">
      <w:pPr>
        <w:spacing w:after="9"/>
        <w:ind w:left="-5"/>
      </w:pPr>
      <w:r>
        <w:t xml:space="preserve">Executive), Mr </w:t>
      </w:r>
      <w:r w:rsidR="002E0819">
        <w:t>AAAA</w:t>
      </w:r>
      <w:r>
        <w:t xml:space="preserve"> (Principal Mining Engineer) and Mr </w:t>
      </w:r>
      <w:r w:rsidR="002E0819">
        <w:t>BBBB</w:t>
      </w:r>
      <w:r>
        <w:t xml:space="preserve"> (Geology </w:t>
      </w:r>
    </w:p>
    <w:p w14:paraId="7E0CC3F5" w14:textId="48BB39AA" w:rsidR="004654E6" w:rsidRDefault="00000000">
      <w:pPr>
        <w:ind w:left="-5"/>
      </w:pPr>
      <w:r>
        <w:t xml:space="preserve">Superintendent - who also holds the primary responsibilities for geotechnical risk management under the Geotechnical PHMP), Mr </w:t>
      </w:r>
      <w:r w:rsidR="002E0819">
        <w:t>CCCC</w:t>
      </w:r>
      <w:r>
        <w:t xml:space="preserve"> (Geotechnical Consultant) and </w:t>
      </w:r>
      <w:r w:rsidR="002E0819">
        <w:t>DDDD</w:t>
      </w:r>
      <w:r>
        <w:t xml:space="preserve"> (Graduate H &amp; S Advisor). </w:t>
      </w:r>
    </w:p>
    <w:p w14:paraId="4AC68A4F" w14:textId="77777777" w:rsidR="004654E6" w:rsidRDefault="00000000">
      <w:pPr>
        <w:spacing w:after="38" w:line="259" w:lineRule="auto"/>
        <w:ind w:left="0" w:firstLine="0"/>
      </w:pPr>
      <w:r>
        <w:t xml:space="preserve"> </w:t>
      </w:r>
    </w:p>
    <w:p w14:paraId="3DB4DFBA" w14:textId="77777777" w:rsidR="004654E6" w:rsidRDefault="00000000">
      <w:pPr>
        <w:ind w:left="-5"/>
      </w:pPr>
      <w:r>
        <w:t xml:space="preserve">The purpose of the teleconference was for Middlemount Mine to provide an update on progress in addressing 2 open Directives; </w:t>
      </w:r>
    </w:p>
    <w:p w14:paraId="5EF7B30B" w14:textId="77777777" w:rsidR="004654E6" w:rsidRDefault="00000000">
      <w:pPr>
        <w:numPr>
          <w:ilvl w:val="0"/>
          <w:numId w:val="1"/>
        </w:numPr>
        <w:ind w:hanging="331"/>
      </w:pPr>
      <w:r>
        <w:t xml:space="preserve">Ground Control (PHMP - Geotechnical) – issued 27/06/18 by Graham Callinan </w:t>
      </w:r>
    </w:p>
    <w:p w14:paraId="5F9C89FB" w14:textId="77777777" w:rsidR="004654E6" w:rsidRDefault="00000000">
      <w:pPr>
        <w:numPr>
          <w:ilvl w:val="0"/>
          <w:numId w:val="1"/>
        </w:numPr>
        <w:ind w:hanging="331"/>
      </w:pPr>
      <w:r>
        <w:t xml:space="preserve">Geotechnical Model – issued 18/07/18 by J Vinnicombe </w:t>
      </w:r>
    </w:p>
    <w:p w14:paraId="13664BFC" w14:textId="77777777" w:rsidR="004654E6" w:rsidRDefault="00000000">
      <w:pPr>
        <w:spacing w:after="38" w:line="259" w:lineRule="auto"/>
        <w:ind w:left="0" w:firstLine="0"/>
      </w:pPr>
      <w:r>
        <w:t xml:space="preserve"> </w:t>
      </w:r>
    </w:p>
    <w:p w14:paraId="567DC84E" w14:textId="77777777" w:rsidR="004654E6" w:rsidRDefault="00000000">
      <w:pPr>
        <w:ind w:left="-5"/>
      </w:pPr>
      <w:r>
        <w:t xml:space="preserve">Matters discussed included; </w:t>
      </w:r>
    </w:p>
    <w:p w14:paraId="327A364C" w14:textId="77777777" w:rsidR="004654E6" w:rsidRDefault="00000000">
      <w:pPr>
        <w:pStyle w:val="Heading1"/>
        <w:ind w:left="-5"/>
      </w:pPr>
      <w:r>
        <w:t xml:space="preserve">Ground Control  </w:t>
      </w:r>
    </w:p>
    <w:p w14:paraId="1581D2E9" w14:textId="77777777" w:rsidR="004654E6" w:rsidRDefault="00000000">
      <w:pPr>
        <w:ind w:left="-5"/>
      </w:pPr>
      <w:r>
        <w:t xml:space="preserve">The Principal Hazard Management Plan for Ground Control ie the Geotechnical PHMP has been rewritten and uploaded to the overarching Safety &amp; Health Management (SHMS) and effectively implemented. The Geotechnical PHMP, includes revised TARPs, and a subordinate and more detailed technical document, GCMP (Ground Control Management Plan).  </w:t>
      </w:r>
    </w:p>
    <w:p w14:paraId="3084EB32" w14:textId="77777777" w:rsidR="004654E6" w:rsidRDefault="00000000">
      <w:pPr>
        <w:ind w:left="-5"/>
      </w:pPr>
      <w:r>
        <w:t xml:space="preserve">GPL Criteria (version 1) will be completed by EOM March 2019 – it is now used for guidance of all mine design, mine planning and operational plans. </w:t>
      </w:r>
    </w:p>
    <w:p w14:paraId="763F99A1" w14:textId="77777777" w:rsidR="004654E6" w:rsidRDefault="00000000">
      <w:pPr>
        <w:spacing w:after="38" w:line="259" w:lineRule="auto"/>
        <w:ind w:left="0" w:firstLine="0"/>
      </w:pPr>
      <w:r>
        <w:t xml:space="preserve"> </w:t>
      </w:r>
    </w:p>
    <w:p w14:paraId="00F5A5BC" w14:textId="77777777" w:rsidR="004654E6" w:rsidRDefault="00000000">
      <w:pPr>
        <w:pStyle w:val="Heading1"/>
        <w:ind w:left="-5"/>
      </w:pPr>
      <w:r>
        <w:t xml:space="preserve">Geotechnical Model  </w:t>
      </w:r>
    </w:p>
    <w:p w14:paraId="6AE3D4AB" w14:textId="77777777" w:rsidR="004654E6" w:rsidRDefault="00000000">
      <w:pPr>
        <w:pStyle w:val="Heading2"/>
        <w:ind w:left="-5"/>
      </w:pPr>
      <w:r>
        <w:t>Structural Model</w:t>
      </w:r>
      <w:r>
        <w:rPr>
          <w:u w:val="none"/>
        </w:rPr>
        <w:t xml:space="preserve">  </w:t>
      </w:r>
    </w:p>
    <w:p w14:paraId="416286E1" w14:textId="77777777" w:rsidR="004654E6" w:rsidRDefault="00000000">
      <w:pPr>
        <w:numPr>
          <w:ilvl w:val="0"/>
          <w:numId w:val="2"/>
        </w:numPr>
        <w:ind w:hanging="720"/>
      </w:pPr>
      <w:r>
        <w:t xml:space="preserve">Is now fed into Vulcan and Deswik from mine planning, design and D&amp;B. </w:t>
      </w:r>
    </w:p>
    <w:p w14:paraId="7BDD342F" w14:textId="77777777" w:rsidR="004654E6" w:rsidRDefault="00000000">
      <w:pPr>
        <w:numPr>
          <w:ilvl w:val="0"/>
          <w:numId w:val="2"/>
        </w:numPr>
        <w:ind w:hanging="720"/>
      </w:pPr>
      <w:r>
        <w:t xml:space="preserve">The site uses conventional mapping and photogrammetry methods. </w:t>
      </w:r>
    </w:p>
    <w:p w14:paraId="7027F618" w14:textId="6E5014F5" w:rsidR="004654E6" w:rsidRDefault="00000000">
      <w:pPr>
        <w:numPr>
          <w:ilvl w:val="0"/>
          <w:numId w:val="2"/>
        </w:numPr>
        <w:ind w:hanging="720"/>
      </w:pPr>
      <w:r>
        <w:t xml:space="preserve">Mr </w:t>
      </w:r>
      <w:r w:rsidR="002E0819">
        <w:t>CCCC</w:t>
      </w:r>
      <w:r>
        <w:t xml:space="preserve"> advised that there is adequate information for the next strips.  </w:t>
      </w:r>
    </w:p>
    <w:p w14:paraId="4818DCD9" w14:textId="77777777" w:rsidR="004654E6" w:rsidRDefault="00000000">
      <w:pPr>
        <w:numPr>
          <w:ilvl w:val="0"/>
          <w:numId w:val="2"/>
        </w:numPr>
        <w:ind w:hanging="720"/>
      </w:pPr>
      <w:r>
        <w:t xml:space="preserve">The Structural Model currently forms part of the GCMP process. </w:t>
      </w:r>
    </w:p>
    <w:p w14:paraId="7CDD3A7C" w14:textId="77777777" w:rsidR="004654E6" w:rsidRDefault="00000000">
      <w:pPr>
        <w:pStyle w:val="Heading2"/>
        <w:ind w:left="-5"/>
      </w:pPr>
      <w:r>
        <w:t>Geotechnical drilling program</w:t>
      </w:r>
      <w:r>
        <w:rPr>
          <w:u w:val="none"/>
        </w:rPr>
        <w:t xml:space="preserve">  </w:t>
      </w:r>
    </w:p>
    <w:p w14:paraId="4E199617" w14:textId="77777777" w:rsidR="004654E6" w:rsidRDefault="00000000">
      <w:pPr>
        <w:numPr>
          <w:ilvl w:val="0"/>
          <w:numId w:val="3"/>
        </w:numPr>
        <w:ind w:hanging="720"/>
      </w:pPr>
      <w:r>
        <w:t xml:space="preserve">13 core holes drilled between Nov 2018 and Mar 2019 and more are planned.  </w:t>
      </w:r>
    </w:p>
    <w:p w14:paraId="469FD1B0" w14:textId="77777777" w:rsidR="004654E6" w:rsidRDefault="00000000">
      <w:pPr>
        <w:numPr>
          <w:ilvl w:val="0"/>
          <w:numId w:val="3"/>
        </w:numPr>
        <w:ind w:hanging="720"/>
      </w:pPr>
      <w:r>
        <w:lastRenderedPageBreak/>
        <w:t xml:space="preserve">Physical analysis of core is to be completed by EOM May/June 2019 and EOM July/August 2019 for completion of modelling and interpretation of this information. The hold-up has been a backlog at the lab analysis of the core. </w:t>
      </w:r>
    </w:p>
    <w:p w14:paraId="7C3C24E6" w14:textId="77777777" w:rsidR="004654E6" w:rsidRDefault="00000000">
      <w:pPr>
        <w:spacing w:after="194" w:line="259" w:lineRule="auto"/>
        <w:ind w:left="0" w:firstLine="0"/>
      </w:pPr>
      <w:r>
        <w:t xml:space="preserve"> </w:t>
      </w:r>
    </w:p>
    <w:p w14:paraId="2A609533" w14:textId="77777777" w:rsidR="004654E6" w:rsidRDefault="00000000">
      <w:pPr>
        <w:spacing w:after="0" w:line="259" w:lineRule="auto"/>
        <w:ind w:left="57" w:firstLine="0"/>
        <w:jc w:val="center"/>
      </w:pPr>
      <w:r>
        <w:rPr>
          <w:i/>
          <w:sz w:val="16"/>
        </w:rPr>
        <w:t xml:space="preserve"> </w:t>
      </w:r>
    </w:p>
    <w:p w14:paraId="564892ED" w14:textId="77777777" w:rsidR="004654E6" w:rsidRDefault="00000000">
      <w:pPr>
        <w:spacing w:after="3" w:line="259" w:lineRule="auto"/>
        <w:ind w:left="23" w:right="10"/>
        <w:jc w:val="center"/>
      </w:pPr>
      <w:r>
        <w:rPr>
          <w:i/>
          <w:sz w:val="16"/>
        </w:rPr>
        <w:t xml:space="preserve">Queensland Department of Natural Resources, Mines and Energy, Resources Safety and Health, Mines Inspectorate, </w:t>
      </w:r>
    </w:p>
    <w:p w14:paraId="3939804A" w14:textId="77777777" w:rsidR="004654E6" w:rsidRDefault="00000000">
      <w:pPr>
        <w:spacing w:after="0" w:line="259" w:lineRule="auto"/>
        <w:ind w:left="23"/>
        <w:jc w:val="center"/>
      </w:pPr>
      <w:r>
        <w:rPr>
          <w:b/>
          <w:i/>
          <w:sz w:val="16"/>
        </w:rPr>
        <w:t xml:space="preserve">Mine Record Entry  </w:t>
      </w:r>
    </w:p>
    <w:p w14:paraId="6DFB69D3" w14:textId="77777777" w:rsidR="004654E6" w:rsidRDefault="00000000">
      <w:pPr>
        <w:spacing w:after="3" w:line="259" w:lineRule="auto"/>
        <w:ind w:left="23"/>
        <w:jc w:val="center"/>
      </w:pPr>
      <w:r>
        <w:rPr>
          <w:i/>
          <w:sz w:val="16"/>
        </w:rPr>
        <w:t xml:space="preserve">Page 1 of 2  </w:t>
      </w:r>
    </w:p>
    <w:p w14:paraId="6117C6C6" w14:textId="77777777" w:rsidR="004654E6" w:rsidRDefault="00000000">
      <w:pPr>
        <w:spacing w:after="0" w:line="259" w:lineRule="auto"/>
        <w:ind w:left="0" w:firstLine="0"/>
      </w:pPr>
      <w:r>
        <w:rPr>
          <w:rFonts w:ascii="Times New Roman" w:eastAsia="Times New Roman" w:hAnsi="Times New Roman" w:cs="Times New Roman"/>
          <w:sz w:val="24"/>
        </w:rPr>
        <w:t xml:space="preserve"> </w:t>
      </w:r>
    </w:p>
    <w:p w14:paraId="68319556" w14:textId="77777777" w:rsidR="004654E6" w:rsidRDefault="00000000">
      <w:pPr>
        <w:pStyle w:val="Heading2"/>
        <w:ind w:left="-5"/>
      </w:pPr>
      <w:r>
        <w:t>Groundwater/hydrological modelling</w:t>
      </w:r>
      <w:r>
        <w:rPr>
          <w:u w:val="none"/>
        </w:rPr>
        <w:t xml:space="preserve">  </w:t>
      </w:r>
    </w:p>
    <w:p w14:paraId="513AE44D" w14:textId="77777777" w:rsidR="004654E6" w:rsidRDefault="00000000">
      <w:pPr>
        <w:numPr>
          <w:ilvl w:val="0"/>
          <w:numId w:val="4"/>
        </w:numPr>
        <w:ind w:hanging="720"/>
      </w:pPr>
      <w:r>
        <w:t xml:space="preserve">7 installed piezos in core holes – both open stand pipes and VWPs. </w:t>
      </w:r>
    </w:p>
    <w:p w14:paraId="5B553291" w14:textId="77777777" w:rsidR="004654E6" w:rsidRDefault="00000000">
      <w:pPr>
        <w:numPr>
          <w:ilvl w:val="0"/>
          <w:numId w:val="4"/>
        </w:numPr>
        <w:ind w:hanging="720"/>
      </w:pPr>
      <w:r>
        <w:t xml:space="preserve">Have started information collection from manual measurement of open standpipes and logging download of piezos (no telemetry to piezos at this stage). </w:t>
      </w:r>
    </w:p>
    <w:p w14:paraId="6E81C149" w14:textId="77777777" w:rsidR="004654E6" w:rsidRDefault="00000000">
      <w:pPr>
        <w:numPr>
          <w:ilvl w:val="0"/>
          <w:numId w:val="4"/>
        </w:numPr>
        <w:ind w:hanging="720"/>
      </w:pPr>
      <w:r>
        <w:t xml:space="preserve">Hydrological model to be completed by EOM June 2019.  </w:t>
      </w:r>
    </w:p>
    <w:p w14:paraId="02E0FAD8" w14:textId="77777777" w:rsidR="004654E6" w:rsidRDefault="00000000">
      <w:pPr>
        <w:numPr>
          <w:ilvl w:val="0"/>
          <w:numId w:val="4"/>
        </w:numPr>
        <w:ind w:hanging="720"/>
      </w:pPr>
      <w:r>
        <w:t xml:space="preserve">This information will be provided to Tim Cartledge for inclusion and revision of the GPL criteria. </w:t>
      </w:r>
    </w:p>
    <w:p w14:paraId="0C03E48C" w14:textId="77777777" w:rsidR="004654E6" w:rsidRDefault="00000000">
      <w:pPr>
        <w:pStyle w:val="Heading2"/>
        <w:ind w:left="-5"/>
      </w:pPr>
      <w:r>
        <w:t>Hole Design and Spacing</w:t>
      </w:r>
      <w:r>
        <w:rPr>
          <w:u w:val="none"/>
        </w:rPr>
        <w:t xml:space="preserve">  </w:t>
      </w:r>
    </w:p>
    <w:p w14:paraId="0C638B8F" w14:textId="77777777" w:rsidR="004654E6" w:rsidRDefault="00000000">
      <w:pPr>
        <w:numPr>
          <w:ilvl w:val="0"/>
          <w:numId w:val="5"/>
        </w:numPr>
        <w:ind w:hanging="720"/>
      </w:pPr>
      <w:r>
        <w:t xml:space="preserve">The Jorc Code has been used to identify the minimum hole spacing (200x200) for modelling and this tightens up to 25x25/50m in structurally significant areas. </w:t>
      </w:r>
    </w:p>
    <w:p w14:paraId="61ED9600" w14:textId="77777777" w:rsidR="004654E6" w:rsidRDefault="00000000">
      <w:pPr>
        <w:spacing w:after="41" w:line="259" w:lineRule="auto"/>
        <w:ind w:left="-5"/>
      </w:pPr>
      <w:r>
        <w:rPr>
          <w:u w:val="single" w:color="000000"/>
        </w:rPr>
        <w:t>Borehole Wireline</w:t>
      </w:r>
      <w:r>
        <w:t xml:space="preserve"> </w:t>
      </w:r>
    </w:p>
    <w:p w14:paraId="72A05D42" w14:textId="77777777" w:rsidR="004654E6" w:rsidRDefault="00000000">
      <w:pPr>
        <w:numPr>
          <w:ilvl w:val="0"/>
          <w:numId w:val="5"/>
        </w:numPr>
        <w:ind w:hanging="720"/>
      </w:pPr>
      <w:r>
        <w:t xml:space="preserve">Borehole wireline logging is also completed. </w:t>
      </w:r>
    </w:p>
    <w:p w14:paraId="0D26AF6E" w14:textId="77777777" w:rsidR="004654E6" w:rsidRDefault="00000000">
      <w:pPr>
        <w:spacing w:after="40" w:line="259" w:lineRule="auto"/>
        <w:ind w:left="0" w:firstLine="0"/>
      </w:pPr>
      <w:r>
        <w:rPr>
          <w:b/>
        </w:rPr>
        <w:t xml:space="preserve">  </w:t>
      </w:r>
    </w:p>
    <w:p w14:paraId="2024CB95" w14:textId="77777777" w:rsidR="004654E6" w:rsidRDefault="00000000">
      <w:pPr>
        <w:pStyle w:val="Heading1"/>
        <w:ind w:left="-5"/>
      </w:pPr>
      <w:r>
        <w:t xml:space="preserve">Ongoing Geotechnical Risk Management   </w:t>
      </w:r>
    </w:p>
    <w:p w14:paraId="3EA2C495" w14:textId="77777777" w:rsidR="004654E6" w:rsidRDefault="00000000">
      <w:pPr>
        <w:numPr>
          <w:ilvl w:val="0"/>
          <w:numId w:val="6"/>
        </w:numPr>
        <w:ind w:hanging="720"/>
      </w:pPr>
      <w:r>
        <w:t xml:space="preserve">Drones are used for highwall mapping and include a point cloud grid for geo referencing. </w:t>
      </w:r>
    </w:p>
    <w:p w14:paraId="055C5D7A" w14:textId="77777777" w:rsidR="004654E6" w:rsidRDefault="00000000">
      <w:pPr>
        <w:numPr>
          <w:ilvl w:val="0"/>
          <w:numId w:val="6"/>
        </w:numPr>
        <w:spacing w:after="9"/>
        <w:ind w:hanging="720"/>
      </w:pPr>
      <w:r>
        <w:t xml:space="preserve">The IDS Radar Maptek Sentry Unit is used on site.   </w:t>
      </w:r>
    </w:p>
    <w:p w14:paraId="437AC086" w14:textId="77777777" w:rsidR="004654E6" w:rsidRDefault="00000000">
      <w:pPr>
        <w:spacing w:after="0" w:line="259" w:lineRule="auto"/>
        <w:ind w:left="0" w:firstLine="0"/>
      </w:pPr>
      <w:r>
        <w:rPr>
          <w:rFonts w:ascii="Times New Roman" w:eastAsia="Times New Roman" w:hAnsi="Times New Roman" w:cs="Times New Roman"/>
          <w:sz w:val="10"/>
        </w:rPr>
        <w:t xml:space="preserve"> </w:t>
      </w:r>
    </w:p>
    <w:p w14:paraId="5738BF27" w14:textId="77777777" w:rsidR="004654E6" w:rsidRDefault="00000000">
      <w:pPr>
        <w:spacing w:after="0" w:line="259" w:lineRule="auto"/>
        <w:ind w:left="23" w:firstLine="0"/>
        <w:jc w:val="center"/>
      </w:pPr>
      <w:r>
        <w:rPr>
          <w:rFonts w:ascii="Times New Roman" w:eastAsia="Times New Roman" w:hAnsi="Times New Roman" w:cs="Times New Roman"/>
          <w:sz w:val="4"/>
        </w:rPr>
        <w:t xml:space="preserve"> </w:t>
      </w:r>
    </w:p>
    <w:p w14:paraId="370A1947" w14:textId="77777777" w:rsidR="004654E6" w:rsidRDefault="00000000">
      <w:pPr>
        <w:spacing w:after="0" w:line="259" w:lineRule="auto"/>
        <w:ind w:left="23" w:firstLine="0"/>
        <w:jc w:val="center"/>
      </w:pPr>
      <w:r>
        <w:rPr>
          <w:rFonts w:ascii="Times New Roman" w:eastAsia="Times New Roman" w:hAnsi="Times New Roman" w:cs="Times New Roman"/>
          <w:sz w:val="4"/>
        </w:rPr>
        <w:t xml:space="preserve"> </w:t>
      </w:r>
    </w:p>
    <w:p w14:paraId="19789808" w14:textId="77777777" w:rsidR="004654E6" w:rsidRDefault="00000000">
      <w:pPr>
        <w:spacing w:after="0" w:line="259" w:lineRule="auto"/>
        <w:ind w:left="23" w:firstLine="0"/>
        <w:jc w:val="center"/>
      </w:pPr>
      <w:r>
        <w:rPr>
          <w:rFonts w:ascii="Times New Roman" w:eastAsia="Times New Roman" w:hAnsi="Times New Roman" w:cs="Times New Roman"/>
          <w:sz w:val="4"/>
        </w:rPr>
        <w:t xml:space="preserve"> </w:t>
      </w:r>
    </w:p>
    <w:p w14:paraId="426D1936" w14:textId="77777777" w:rsidR="004654E6" w:rsidRDefault="00000000">
      <w:pPr>
        <w:spacing w:after="0" w:line="259" w:lineRule="auto"/>
        <w:ind w:left="1" w:firstLine="0"/>
      </w:pPr>
      <w:r>
        <w:rPr>
          <w:noProof/>
        </w:rPr>
        <w:drawing>
          <wp:inline distT="0" distB="0" distL="0" distR="0" wp14:anchorId="4755C84F" wp14:editId="40F25F6F">
            <wp:extent cx="1714568" cy="755726"/>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6"/>
                    <a:stretch>
                      <a:fillRect/>
                    </a:stretch>
                  </pic:blipFill>
                  <pic:spPr>
                    <a:xfrm>
                      <a:off x="0" y="0"/>
                      <a:ext cx="1714568" cy="755726"/>
                    </a:xfrm>
                    <a:prstGeom prst="rect">
                      <a:avLst/>
                    </a:prstGeom>
                  </pic:spPr>
                </pic:pic>
              </a:graphicData>
            </a:graphic>
          </wp:inline>
        </w:drawing>
      </w:r>
    </w:p>
    <w:p w14:paraId="6E6D1032" w14:textId="77777777" w:rsidR="004654E6" w:rsidRDefault="00000000">
      <w:pPr>
        <w:spacing w:after="39" w:line="259" w:lineRule="auto"/>
        <w:ind w:left="1" w:firstLine="0"/>
      </w:pPr>
      <w:r>
        <w:rPr>
          <w:rFonts w:ascii="Times New Roman" w:eastAsia="Times New Roman" w:hAnsi="Times New Roman" w:cs="Times New Roman"/>
          <w:sz w:val="4"/>
        </w:rPr>
        <w:t xml:space="preserve"> </w:t>
      </w:r>
      <w:r>
        <w:rPr>
          <w:rFonts w:ascii="Times New Roman" w:eastAsia="Times New Roman" w:hAnsi="Times New Roman" w:cs="Times New Roman"/>
          <w:sz w:val="4"/>
        </w:rPr>
        <w:tab/>
        <w:t xml:space="preserve"> </w:t>
      </w:r>
    </w:p>
    <w:p w14:paraId="6913375C" w14:textId="77777777" w:rsidR="004654E6" w:rsidRDefault="00000000">
      <w:pPr>
        <w:spacing w:after="0" w:line="259" w:lineRule="auto"/>
        <w:ind w:left="23" w:firstLine="0"/>
        <w:jc w:val="center"/>
      </w:pPr>
      <w:r>
        <w:rPr>
          <w:rFonts w:ascii="Times New Roman" w:eastAsia="Times New Roman" w:hAnsi="Times New Roman" w:cs="Times New Roman"/>
          <w:sz w:val="4"/>
        </w:rPr>
        <w:t xml:space="preserve"> </w:t>
      </w:r>
    </w:p>
    <w:p w14:paraId="213FC587" w14:textId="77777777" w:rsidR="004654E6" w:rsidRDefault="00000000">
      <w:pPr>
        <w:spacing w:after="152" w:line="259" w:lineRule="auto"/>
        <w:ind w:left="23" w:firstLine="0"/>
        <w:jc w:val="center"/>
      </w:pPr>
      <w:r>
        <w:rPr>
          <w:rFonts w:ascii="Times New Roman" w:eastAsia="Times New Roman" w:hAnsi="Times New Roman" w:cs="Times New Roman"/>
          <w:sz w:val="4"/>
        </w:rPr>
        <w:t xml:space="preserve"> </w:t>
      </w:r>
    </w:p>
    <w:p w14:paraId="26897E3F" w14:textId="77777777" w:rsidR="004654E6" w:rsidRDefault="00000000">
      <w:pPr>
        <w:pStyle w:val="Heading1"/>
        <w:tabs>
          <w:tab w:val="center" w:pos="3241"/>
          <w:tab w:val="center" w:pos="6361"/>
        </w:tabs>
        <w:spacing w:after="105"/>
        <w:ind w:left="0" w:firstLine="0"/>
      </w:pPr>
      <w:r>
        <w:t xml:space="preserve">Jacqui Vinnicombe </w:t>
      </w:r>
      <w:r>
        <w:tab/>
      </w:r>
      <w:r>
        <w:rPr>
          <w:sz w:val="20"/>
        </w:rPr>
        <w:t xml:space="preserve"> </w:t>
      </w:r>
      <w:r>
        <w:rPr>
          <w:sz w:val="20"/>
        </w:rPr>
        <w:tab/>
        <w:t xml:space="preserve"> </w:t>
      </w:r>
    </w:p>
    <w:p w14:paraId="03BD0531" w14:textId="77777777" w:rsidR="004654E6" w:rsidRDefault="00000000">
      <w:pPr>
        <w:spacing w:after="0" w:line="259" w:lineRule="auto"/>
        <w:ind w:left="122" w:firstLine="0"/>
      </w:pPr>
      <w:r>
        <w:rPr>
          <w:b/>
          <w:sz w:val="20"/>
        </w:rPr>
        <w:t xml:space="preserve">Inspector of Mines </w:t>
      </w:r>
    </w:p>
    <w:p w14:paraId="057CD52A" w14:textId="77777777" w:rsidR="004654E6" w:rsidRDefault="00000000">
      <w:pPr>
        <w:spacing w:after="0" w:line="259" w:lineRule="auto"/>
        <w:ind w:left="122" w:firstLine="0"/>
      </w:pPr>
      <w:r>
        <w:rPr>
          <w:b/>
          <w:sz w:val="20"/>
        </w:rPr>
        <w:t xml:space="preserve"> </w:t>
      </w:r>
    </w:p>
    <w:p w14:paraId="210A4DC1" w14:textId="77777777" w:rsidR="004654E6" w:rsidRDefault="00000000">
      <w:pPr>
        <w:spacing w:after="102" w:line="259" w:lineRule="auto"/>
        <w:ind w:left="122" w:firstLine="0"/>
      </w:pPr>
      <w:r>
        <w:rPr>
          <w:b/>
          <w:sz w:val="20"/>
        </w:rPr>
        <w:t xml:space="preserve"> </w:t>
      </w:r>
      <w:r>
        <w:rPr>
          <w:b/>
          <w:sz w:val="20"/>
        </w:rPr>
        <w:tab/>
        <w:t xml:space="preserve"> </w:t>
      </w:r>
      <w:r>
        <w:rPr>
          <w:b/>
          <w:sz w:val="20"/>
        </w:rPr>
        <w:tab/>
        <w:t xml:space="preserve"> </w:t>
      </w:r>
    </w:p>
    <w:p w14:paraId="2355A002" w14:textId="77777777" w:rsidR="004654E6" w:rsidRDefault="00000000">
      <w:pPr>
        <w:spacing w:after="105" w:line="259" w:lineRule="auto"/>
        <w:ind w:left="122" w:firstLine="0"/>
      </w:pPr>
      <w:r>
        <w:rPr>
          <w:b/>
          <w:sz w:val="20"/>
        </w:rPr>
        <w:t xml:space="preserve"> </w:t>
      </w:r>
      <w:r>
        <w:rPr>
          <w:b/>
          <w:sz w:val="20"/>
        </w:rPr>
        <w:tab/>
        <w:t xml:space="preserve"> </w:t>
      </w:r>
      <w:r>
        <w:rPr>
          <w:b/>
          <w:sz w:val="20"/>
        </w:rPr>
        <w:tab/>
        <w:t xml:space="preserve"> </w:t>
      </w:r>
    </w:p>
    <w:p w14:paraId="26E83DBA" w14:textId="77777777" w:rsidR="004654E6" w:rsidRDefault="00000000">
      <w:pPr>
        <w:spacing w:after="122" w:line="259" w:lineRule="auto"/>
        <w:ind w:left="122" w:firstLine="0"/>
      </w:pPr>
      <w:r>
        <w:rPr>
          <w:b/>
          <w:sz w:val="20"/>
        </w:rPr>
        <w:t xml:space="preserve"> </w:t>
      </w:r>
      <w:r>
        <w:rPr>
          <w:b/>
          <w:sz w:val="20"/>
        </w:rPr>
        <w:tab/>
        <w:t xml:space="preserve"> </w:t>
      </w:r>
      <w:r>
        <w:rPr>
          <w:b/>
          <w:sz w:val="20"/>
        </w:rPr>
        <w:tab/>
        <w:t xml:space="preserve"> </w:t>
      </w:r>
    </w:p>
    <w:p w14:paraId="3694C99C" w14:textId="77777777" w:rsidR="004654E6" w:rsidRDefault="00000000">
      <w:pPr>
        <w:spacing w:after="0" w:line="259" w:lineRule="auto"/>
        <w:ind w:left="0" w:firstLine="0"/>
      </w:pPr>
      <w:r>
        <w:rPr>
          <w:b/>
        </w:rPr>
        <w:t xml:space="preserve"> </w:t>
      </w:r>
    </w:p>
    <w:p w14:paraId="050732A1" w14:textId="77777777" w:rsidR="004654E6" w:rsidRDefault="00000000">
      <w:pPr>
        <w:spacing w:after="6178" w:line="259" w:lineRule="auto"/>
        <w:ind w:left="0" w:firstLine="0"/>
      </w:pPr>
      <w:r>
        <w:rPr>
          <w:rFonts w:ascii="Times New Roman" w:eastAsia="Times New Roman" w:hAnsi="Times New Roman" w:cs="Times New Roman"/>
          <w:sz w:val="24"/>
        </w:rPr>
        <w:t xml:space="preserve"> </w:t>
      </w:r>
    </w:p>
    <w:p w14:paraId="002DEC83" w14:textId="77777777" w:rsidR="004654E6" w:rsidRDefault="00000000">
      <w:pPr>
        <w:spacing w:after="0" w:line="259" w:lineRule="auto"/>
        <w:ind w:left="57" w:firstLine="0"/>
        <w:jc w:val="center"/>
      </w:pPr>
      <w:r>
        <w:rPr>
          <w:i/>
          <w:sz w:val="16"/>
        </w:rPr>
        <w:lastRenderedPageBreak/>
        <w:t xml:space="preserve"> </w:t>
      </w:r>
    </w:p>
    <w:p w14:paraId="7CD6FC88" w14:textId="77777777" w:rsidR="004654E6" w:rsidRDefault="00000000">
      <w:pPr>
        <w:spacing w:after="0" w:line="259" w:lineRule="auto"/>
        <w:ind w:left="656" w:firstLine="0"/>
      </w:pPr>
      <w:r>
        <w:rPr>
          <w:i/>
          <w:sz w:val="16"/>
        </w:rPr>
        <w:t xml:space="preserve">Queensland Department of Natural Resources, Mines and Energy, Resources Safety and Health, Mines Inspectorate, </w:t>
      </w:r>
    </w:p>
    <w:p w14:paraId="5EA2EE48" w14:textId="77777777" w:rsidR="004654E6" w:rsidRDefault="00000000">
      <w:pPr>
        <w:spacing w:after="0" w:line="259" w:lineRule="auto"/>
        <w:ind w:left="23"/>
        <w:jc w:val="center"/>
      </w:pPr>
      <w:r>
        <w:rPr>
          <w:b/>
          <w:i/>
          <w:sz w:val="16"/>
        </w:rPr>
        <w:t xml:space="preserve">Mine Record Entry  </w:t>
      </w:r>
    </w:p>
    <w:p w14:paraId="2B9C3891" w14:textId="77777777" w:rsidR="004654E6" w:rsidRDefault="00000000">
      <w:pPr>
        <w:spacing w:after="3" w:line="259" w:lineRule="auto"/>
        <w:ind w:left="23"/>
        <w:jc w:val="center"/>
      </w:pPr>
      <w:r>
        <w:rPr>
          <w:i/>
          <w:sz w:val="16"/>
        </w:rPr>
        <w:t xml:space="preserve">Page 2 of 2  </w:t>
      </w:r>
    </w:p>
    <w:sectPr w:rsidR="004654E6">
      <w:pgSz w:w="11906" w:h="16841"/>
      <w:pgMar w:top="401" w:right="1146" w:bottom="39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C41"/>
    <w:multiLevelType w:val="hybridMultilevel"/>
    <w:tmpl w:val="2200B91E"/>
    <w:lvl w:ilvl="0" w:tplc="2E8E4E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A923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244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CCF6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041BF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9E37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0E1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620C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41F21"/>
    <w:multiLevelType w:val="hybridMultilevel"/>
    <w:tmpl w:val="F740DE10"/>
    <w:lvl w:ilvl="0" w:tplc="87427D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8EEA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E902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54C9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A0CEC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4E4E0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6D3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4842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6517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5A3A9A"/>
    <w:multiLevelType w:val="hybridMultilevel"/>
    <w:tmpl w:val="E7122108"/>
    <w:lvl w:ilvl="0" w:tplc="91B2C3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4A32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096A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EA0D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4ED29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3AB4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3CE2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AC0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4A6D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E4EF8"/>
    <w:multiLevelType w:val="hybridMultilevel"/>
    <w:tmpl w:val="9B12B0BE"/>
    <w:lvl w:ilvl="0" w:tplc="1F8C8C8C">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7E7E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E00E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1688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C27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0AC78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E54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0F4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903A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72109A"/>
    <w:multiLevelType w:val="hybridMultilevel"/>
    <w:tmpl w:val="3E50D282"/>
    <w:lvl w:ilvl="0" w:tplc="5EECF2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F89D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4A95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C202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A91E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4FC4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14EA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812E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DABF3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0149B2"/>
    <w:multiLevelType w:val="hybridMultilevel"/>
    <w:tmpl w:val="D3EC7BC6"/>
    <w:lvl w:ilvl="0" w:tplc="C0FAEE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2CA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9C47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84B0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0C0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18E8F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0A4A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C83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5014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60265006">
    <w:abstractNumId w:val="3"/>
  </w:num>
  <w:num w:numId="2" w16cid:durableId="379091262">
    <w:abstractNumId w:val="4"/>
  </w:num>
  <w:num w:numId="3" w16cid:durableId="1244336393">
    <w:abstractNumId w:val="5"/>
  </w:num>
  <w:num w:numId="4" w16cid:durableId="2007975767">
    <w:abstractNumId w:val="0"/>
  </w:num>
  <w:num w:numId="5" w16cid:durableId="1576814564">
    <w:abstractNumId w:val="2"/>
  </w:num>
  <w:num w:numId="6" w16cid:durableId="1139499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E6"/>
    <w:rsid w:val="002E0819"/>
    <w:rsid w:val="00412B26"/>
    <w:rsid w:val="004654E6"/>
    <w:rsid w:val="00B33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012B"/>
  <w15:docId w15:val="{7CA7D6E8-77E8-4184-A5EA-BD1C8C41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Health Division, Mines Inspectorate</dc:title>
  <dc:subject/>
  <dc:creator>VINNICOMBE Jacqui</dc:creator>
  <cp:keywords/>
  <cp:lastModifiedBy>Stuart Vaccaneo</cp:lastModifiedBy>
  <cp:revision>3</cp:revision>
  <dcterms:created xsi:type="dcterms:W3CDTF">2023-08-10T21:48:00Z</dcterms:created>
  <dcterms:modified xsi:type="dcterms:W3CDTF">2023-08-10T21:50:00Z</dcterms:modified>
</cp:coreProperties>
</file>