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4591" w14:textId="77777777" w:rsidR="00DA700D" w:rsidRDefault="00000000">
      <w:pPr>
        <w:ind w:left="21"/>
      </w:pPr>
      <w:r>
        <w:t xml:space="preserve">Mr Stuart Vaccaneo </w:t>
      </w:r>
    </w:p>
    <w:p w14:paraId="75E98DD6" w14:textId="77777777" w:rsidR="00DA700D" w:rsidRDefault="00000000">
      <w:pPr>
        <w:ind w:left="21"/>
      </w:pPr>
      <w:r>
        <w:t xml:space="preserve">PO Box 323 </w:t>
      </w:r>
    </w:p>
    <w:p w14:paraId="1BF3337F" w14:textId="77777777" w:rsidR="00DA700D" w:rsidRDefault="00000000">
      <w:pPr>
        <w:ind w:left="21"/>
      </w:pPr>
      <w:r>
        <w:t xml:space="preserve">Tiaro QLD 4650 </w:t>
      </w:r>
    </w:p>
    <w:p w14:paraId="5C0B4037" w14:textId="77777777" w:rsidR="00DA700D" w:rsidRDefault="00000000">
      <w:pPr>
        <w:spacing w:after="13" w:line="259" w:lineRule="auto"/>
        <w:ind w:left="26" w:firstLine="0"/>
        <w:jc w:val="left"/>
      </w:pPr>
      <w:r>
        <w:t xml:space="preserve"> </w:t>
      </w:r>
    </w:p>
    <w:p w14:paraId="36AB56D9" w14:textId="77777777" w:rsidR="00DA700D" w:rsidRDefault="00000000">
      <w:pPr>
        <w:spacing w:after="13" w:line="259" w:lineRule="auto"/>
        <w:ind w:left="26" w:firstLine="0"/>
        <w:jc w:val="left"/>
      </w:pPr>
      <w:r>
        <w:rPr>
          <w:color w:val="0563C1"/>
          <w:u w:val="single" w:color="0563C1"/>
        </w:rPr>
        <w:t>stuvac@bigpond.com</w:t>
      </w:r>
      <w:r>
        <w:t xml:space="preserve"> </w:t>
      </w:r>
    </w:p>
    <w:p w14:paraId="662F86A4" w14:textId="77777777" w:rsidR="00DA700D" w:rsidRDefault="00000000">
      <w:pPr>
        <w:spacing w:after="13" w:line="259" w:lineRule="auto"/>
        <w:ind w:left="26" w:firstLine="0"/>
        <w:jc w:val="left"/>
      </w:pPr>
      <w:r>
        <w:t xml:space="preserve"> </w:t>
      </w:r>
    </w:p>
    <w:p w14:paraId="484D2A2E" w14:textId="77777777" w:rsidR="00DA700D" w:rsidRDefault="00000000">
      <w:pPr>
        <w:ind w:left="21"/>
      </w:pPr>
      <w:r>
        <w:t xml:space="preserve">Dear Mr Vaccaneo </w:t>
      </w:r>
    </w:p>
    <w:p w14:paraId="5357F011" w14:textId="77777777" w:rsidR="00DA700D" w:rsidRDefault="00000000">
      <w:pPr>
        <w:spacing w:after="13" w:line="259" w:lineRule="auto"/>
        <w:ind w:left="26" w:firstLine="0"/>
        <w:jc w:val="left"/>
      </w:pPr>
      <w:r>
        <w:t xml:space="preserve"> </w:t>
      </w:r>
    </w:p>
    <w:p w14:paraId="6FA18F58" w14:textId="77777777" w:rsidR="00DA700D" w:rsidRDefault="00000000">
      <w:pPr>
        <w:pStyle w:val="Heading1"/>
        <w:ind w:left="21"/>
      </w:pPr>
      <w:r>
        <w:t xml:space="preserve">Notice of internal review decision under the </w:t>
      </w:r>
      <w:r>
        <w:rPr>
          <w:i/>
        </w:rPr>
        <w:t xml:space="preserve">Right to Information Act 2009 </w:t>
      </w:r>
      <w:r>
        <w:t>(Qld)</w:t>
      </w:r>
      <w:r>
        <w:rPr>
          <w:i/>
        </w:rPr>
        <w:t xml:space="preserve"> </w:t>
      </w:r>
      <w:r>
        <w:rPr>
          <w:b w:val="0"/>
        </w:rPr>
        <w:t xml:space="preserve">- </w:t>
      </w:r>
    </w:p>
    <w:p w14:paraId="240514A3" w14:textId="77777777" w:rsidR="00DA700D" w:rsidRDefault="00000000">
      <w:pPr>
        <w:ind w:left="21"/>
      </w:pPr>
      <w:r>
        <w:t xml:space="preserve">RTIPSC40IR </w:t>
      </w:r>
    </w:p>
    <w:p w14:paraId="71F579D1" w14:textId="77777777" w:rsidR="00DA700D" w:rsidRDefault="00000000">
      <w:pPr>
        <w:spacing w:after="13" w:line="259" w:lineRule="auto"/>
        <w:ind w:left="26" w:firstLine="0"/>
        <w:jc w:val="left"/>
      </w:pPr>
      <w:r>
        <w:t xml:space="preserve"> </w:t>
      </w:r>
    </w:p>
    <w:p w14:paraId="714F4780" w14:textId="77777777" w:rsidR="00DA700D" w:rsidRDefault="00000000">
      <w:pPr>
        <w:ind w:left="21"/>
      </w:pPr>
      <w:r>
        <w:t>I refer to your Internal Review Application received on 5 July 2022 by the Public Service Commission (</w:t>
      </w:r>
      <w:r>
        <w:rPr>
          <w:b/>
        </w:rPr>
        <w:t>PSC</w:t>
      </w:r>
      <w:r>
        <w:t xml:space="preserve">) under the </w:t>
      </w:r>
      <w:r>
        <w:rPr>
          <w:i/>
        </w:rPr>
        <w:t xml:space="preserve">Right to Information Act 2009 </w:t>
      </w:r>
      <w:r>
        <w:t>(Qld) (</w:t>
      </w:r>
      <w:r>
        <w:rPr>
          <w:b/>
        </w:rPr>
        <w:t>RTI Act</w:t>
      </w:r>
      <w:r>
        <w:t xml:space="preserve">). Your application sought review of the access decision on application RTIPSC40 made, under delegation, by Ms Narelle Haling on 5 July 2022. </w:t>
      </w:r>
    </w:p>
    <w:p w14:paraId="0976EE04" w14:textId="77777777" w:rsidR="00DA700D" w:rsidRDefault="00000000">
      <w:pPr>
        <w:spacing w:after="13" w:line="259" w:lineRule="auto"/>
        <w:ind w:left="26" w:firstLine="0"/>
        <w:jc w:val="left"/>
      </w:pPr>
      <w:r>
        <w:t xml:space="preserve"> </w:t>
      </w:r>
    </w:p>
    <w:p w14:paraId="3295D450" w14:textId="77777777" w:rsidR="00DA700D" w:rsidRDefault="00000000">
      <w:pPr>
        <w:ind w:left="21"/>
      </w:pPr>
      <w:r>
        <w:t xml:space="preserve">I am delegated under the RTI Act to make internal review decisions.  </w:t>
      </w:r>
    </w:p>
    <w:p w14:paraId="38FED821" w14:textId="77777777" w:rsidR="00DA700D" w:rsidRDefault="00000000">
      <w:pPr>
        <w:spacing w:after="13" w:line="259" w:lineRule="auto"/>
        <w:ind w:left="26" w:firstLine="0"/>
        <w:jc w:val="left"/>
      </w:pPr>
      <w:r>
        <w:t xml:space="preserve"> </w:t>
      </w:r>
    </w:p>
    <w:p w14:paraId="23B64660" w14:textId="77777777" w:rsidR="00DA700D" w:rsidRDefault="00000000">
      <w:pPr>
        <w:ind w:left="21"/>
      </w:pPr>
      <w:r>
        <w:t xml:space="preserve">Under section 80(2) of the RTI Act, I must make a new decision as if the reviewable decision had not been made. I have decided to uphold Ms Haling’s original decision for the reasons outlined below. </w:t>
      </w:r>
    </w:p>
    <w:p w14:paraId="22B6A94B" w14:textId="77777777" w:rsidR="00DA700D" w:rsidRDefault="00000000">
      <w:pPr>
        <w:spacing w:after="13" w:line="259" w:lineRule="auto"/>
        <w:ind w:left="26" w:firstLine="0"/>
        <w:jc w:val="left"/>
      </w:pPr>
      <w:r>
        <w:t xml:space="preserve"> </w:t>
      </w:r>
    </w:p>
    <w:p w14:paraId="5489629C" w14:textId="77777777" w:rsidR="00DA700D" w:rsidRDefault="00000000">
      <w:pPr>
        <w:pStyle w:val="Heading1"/>
        <w:ind w:left="21"/>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089DEDF" wp14:editId="6437D74B">
                <wp:simplePos x="0" y="0"/>
                <wp:positionH relativeFrom="page">
                  <wp:posOffset>329946</wp:posOffset>
                </wp:positionH>
                <wp:positionV relativeFrom="page">
                  <wp:posOffset>0</wp:posOffset>
                </wp:positionV>
                <wp:extent cx="7117843" cy="2096262"/>
                <wp:effectExtent l="0" t="0" r="0" b="0"/>
                <wp:wrapSquare wrapText="bothSides"/>
                <wp:docPr id="5676" name="Group 5676"/>
                <wp:cNvGraphicFramePr/>
                <a:graphic xmlns:a="http://schemas.openxmlformats.org/drawingml/2006/main">
                  <a:graphicData uri="http://schemas.microsoft.com/office/word/2010/wordprocessingGroup">
                    <wpg:wgp>
                      <wpg:cNvGrpSpPr/>
                      <wpg:grpSpPr>
                        <a:xfrm>
                          <a:off x="0" y="0"/>
                          <a:ext cx="7117843" cy="2096262"/>
                          <a:chOff x="0" y="0"/>
                          <a:chExt cx="7117843" cy="2096262"/>
                        </a:xfrm>
                      </wpg:grpSpPr>
                      <pic:pic xmlns:pic="http://schemas.openxmlformats.org/drawingml/2006/picture">
                        <pic:nvPicPr>
                          <pic:cNvPr id="7" name="Picture 7"/>
                          <pic:cNvPicPr/>
                        </pic:nvPicPr>
                        <pic:blipFill>
                          <a:blip r:embed="rId7"/>
                          <a:stretch>
                            <a:fillRect/>
                          </a:stretch>
                        </pic:blipFill>
                        <pic:spPr>
                          <a:xfrm>
                            <a:off x="0" y="0"/>
                            <a:ext cx="7117843" cy="1048512"/>
                          </a:xfrm>
                          <a:prstGeom prst="rect">
                            <a:avLst/>
                          </a:prstGeom>
                        </pic:spPr>
                      </pic:pic>
                      <pic:pic xmlns:pic="http://schemas.openxmlformats.org/drawingml/2006/picture">
                        <pic:nvPicPr>
                          <pic:cNvPr id="9" name="Picture 9"/>
                          <pic:cNvPicPr/>
                        </pic:nvPicPr>
                        <pic:blipFill>
                          <a:blip r:embed="rId8"/>
                          <a:stretch>
                            <a:fillRect/>
                          </a:stretch>
                        </pic:blipFill>
                        <pic:spPr>
                          <a:xfrm>
                            <a:off x="0" y="1048512"/>
                            <a:ext cx="7117843" cy="1047750"/>
                          </a:xfrm>
                          <a:prstGeom prst="rect">
                            <a:avLst/>
                          </a:prstGeom>
                        </pic:spPr>
                      </pic:pic>
                      <wps:wsp>
                        <wps:cNvPr id="12" name="Rectangle 12"/>
                        <wps:cNvSpPr/>
                        <wps:spPr>
                          <a:xfrm>
                            <a:off x="1101852" y="27341"/>
                            <a:ext cx="39357" cy="177714"/>
                          </a:xfrm>
                          <a:prstGeom prst="rect">
                            <a:avLst/>
                          </a:prstGeom>
                          <a:ln>
                            <a:noFill/>
                          </a:ln>
                        </wps:spPr>
                        <wps:txbx>
                          <w:txbxContent>
                            <w:p w14:paraId="384F8B86" w14:textId="77777777" w:rsidR="00DA700D" w:rsidRDefault="00000000">
                              <w:pPr>
                                <w:spacing w:after="160" w:line="259" w:lineRule="auto"/>
                                <w:ind w:left="0" w:firstLine="0"/>
                                <w:jc w:val="left"/>
                              </w:pPr>
                              <w:r>
                                <w:rPr>
                                  <w:rFonts w:ascii="Calibri" w:eastAsia="Calibri" w:hAnsi="Calibri" w:cs="Calibri"/>
                                  <w:sz w:val="21"/>
                                </w:rPr>
                                <w:t xml:space="preserve"> </w:t>
                              </w:r>
                            </w:p>
                          </w:txbxContent>
                        </wps:txbx>
                        <wps:bodyPr horzOverflow="overflow" vert="horz" lIns="0" tIns="0" rIns="0" bIns="0" rtlCol="0">
                          <a:noAutofit/>
                        </wps:bodyPr>
                      </wps:wsp>
                      <wps:wsp>
                        <wps:cNvPr id="14" name="Rectangle 14"/>
                        <wps:cNvSpPr/>
                        <wps:spPr>
                          <a:xfrm>
                            <a:off x="1101852" y="1106354"/>
                            <a:ext cx="889215" cy="119190"/>
                          </a:xfrm>
                          <a:prstGeom prst="rect">
                            <a:avLst/>
                          </a:prstGeom>
                          <a:ln>
                            <a:noFill/>
                          </a:ln>
                        </wps:spPr>
                        <wps:txbx>
                          <w:txbxContent>
                            <w:p w14:paraId="7DA9A28E" w14:textId="77777777" w:rsidR="00DA700D" w:rsidRDefault="00000000">
                              <w:pPr>
                                <w:spacing w:after="160" w:line="259" w:lineRule="auto"/>
                                <w:ind w:left="0" w:firstLine="0"/>
                                <w:jc w:val="left"/>
                              </w:pPr>
                              <w:r>
                                <w:rPr>
                                  <w:sz w:val="15"/>
                                </w:rPr>
                                <w:t xml:space="preserve">Our reference:  </w:t>
                              </w:r>
                            </w:p>
                          </w:txbxContent>
                        </wps:txbx>
                        <wps:bodyPr horzOverflow="overflow" vert="horz" lIns="0" tIns="0" rIns="0" bIns="0" rtlCol="0">
                          <a:noAutofit/>
                        </wps:bodyPr>
                      </wps:wsp>
                      <wps:wsp>
                        <wps:cNvPr id="15" name="Rectangle 15"/>
                        <wps:cNvSpPr/>
                        <wps:spPr>
                          <a:xfrm>
                            <a:off x="1770892" y="1106354"/>
                            <a:ext cx="3101951" cy="119190"/>
                          </a:xfrm>
                          <a:prstGeom prst="rect">
                            <a:avLst/>
                          </a:prstGeom>
                          <a:ln>
                            <a:noFill/>
                          </a:ln>
                        </wps:spPr>
                        <wps:txbx>
                          <w:txbxContent>
                            <w:p w14:paraId="51971844" w14:textId="77777777" w:rsidR="00DA700D" w:rsidRDefault="00000000">
                              <w:pPr>
                                <w:spacing w:after="160" w:line="259" w:lineRule="auto"/>
                                <w:ind w:left="0" w:firstLine="0"/>
                                <w:jc w:val="left"/>
                              </w:pPr>
                              <w:r>
                                <w:rPr>
                                  <w:i/>
                                  <w:sz w:val="15"/>
                                </w:rPr>
                                <w:t xml:space="preserve">RTI &amp; PRIVACY/SD – RTIPSC40IR – DOC/22/137197 </w:t>
                              </w:r>
                            </w:p>
                          </w:txbxContent>
                        </wps:txbx>
                        <wps:bodyPr horzOverflow="overflow" vert="horz" lIns="0" tIns="0" rIns="0" bIns="0" rtlCol="0">
                          <a:noAutofit/>
                        </wps:bodyPr>
                      </wps:wsp>
                      <wps:wsp>
                        <wps:cNvPr id="16" name="Rectangle 16"/>
                        <wps:cNvSpPr/>
                        <wps:spPr>
                          <a:xfrm>
                            <a:off x="1101852" y="1224915"/>
                            <a:ext cx="50793" cy="172063"/>
                          </a:xfrm>
                          <a:prstGeom prst="rect">
                            <a:avLst/>
                          </a:prstGeom>
                          <a:ln>
                            <a:noFill/>
                          </a:ln>
                        </wps:spPr>
                        <wps:txbx>
                          <w:txbxContent>
                            <w:p w14:paraId="65D6F7D1" w14:textId="77777777" w:rsidR="00DA700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106" name="Rectangle 5106"/>
                        <wps:cNvSpPr/>
                        <wps:spPr>
                          <a:xfrm>
                            <a:off x="1101852" y="1403223"/>
                            <a:ext cx="101586" cy="172063"/>
                          </a:xfrm>
                          <a:prstGeom prst="rect">
                            <a:avLst/>
                          </a:prstGeom>
                          <a:ln>
                            <a:noFill/>
                          </a:ln>
                        </wps:spPr>
                        <wps:txbx>
                          <w:txbxContent>
                            <w:p w14:paraId="7E725F93" w14:textId="77777777" w:rsidR="00DA700D" w:rsidRDefault="00000000">
                              <w:pPr>
                                <w:spacing w:after="160" w:line="259" w:lineRule="auto"/>
                                <w:ind w:left="0" w:firstLine="0"/>
                                <w:jc w:val="left"/>
                              </w:pPr>
                              <w:r>
                                <w:t>2</w:t>
                              </w:r>
                            </w:p>
                          </w:txbxContent>
                        </wps:txbx>
                        <wps:bodyPr horzOverflow="overflow" vert="horz" lIns="0" tIns="0" rIns="0" bIns="0" rtlCol="0">
                          <a:noAutofit/>
                        </wps:bodyPr>
                      </wps:wsp>
                      <wps:wsp>
                        <wps:cNvPr id="5113" name="Rectangle 5113"/>
                        <wps:cNvSpPr/>
                        <wps:spPr>
                          <a:xfrm>
                            <a:off x="1178054" y="1403223"/>
                            <a:ext cx="1126871" cy="172063"/>
                          </a:xfrm>
                          <a:prstGeom prst="rect">
                            <a:avLst/>
                          </a:prstGeom>
                          <a:ln>
                            <a:noFill/>
                          </a:ln>
                        </wps:spPr>
                        <wps:txbx>
                          <w:txbxContent>
                            <w:p w14:paraId="42CBC580" w14:textId="77777777" w:rsidR="00DA700D" w:rsidRDefault="00000000">
                              <w:pPr>
                                <w:spacing w:after="160" w:line="259" w:lineRule="auto"/>
                                <w:ind w:left="0" w:firstLine="0"/>
                                <w:jc w:val="left"/>
                              </w:pPr>
                              <w:r>
                                <w:t xml:space="preserve"> August 2022 </w:t>
                              </w:r>
                            </w:p>
                          </w:txbxContent>
                        </wps:txbx>
                        <wps:bodyPr horzOverflow="overflow" vert="horz" lIns="0" tIns="0" rIns="0" bIns="0" rtlCol="0">
                          <a:noAutofit/>
                        </wps:bodyPr>
                      </wps:wsp>
                      <wps:wsp>
                        <wps:cNvPr id="18" name="Rectangle 18"/>
                        <wps:cNvSpPr/>
                        <wps:spPr>
                          <a:xfrm>
                            <a:off x="1101852" y="1583058"/>
                            <a:ext cx="50793" cy="172063"/>
                          </a:xfrm>
                          <a:prstGeom prst="rect">
                            <a:avLst/>
                          </a:prstGeom>
                          <a:ln>
                            <a:noFill/>
                          </a:ln>
                        </wps:spPr>
                        <wps:txbx>
                          <w:txbxContent>
                            <w:p w14:paraId="1566C441" w14:textId="77777777" w:rsidR="00DA700D"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1101852" y="1762124"/>
                            <a:ext cx="50793" cy="172063"/>
                          </a:xfrm>
                          <a:prstGeom prst="rect">
                            <a:avLst/>
                          </a:prstGeom>
                          <a:ln>
                            <a:noFill/>
                          </a:ln>
                        </wps:spPr>
                        <wps:txbx>
                          <w:txbxContent>
                            <w:p w14:paraId="2F5E5528" w14:textId="77777777" w:rsidR="00DA700D"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676" style="width:560.46pt;height:165.06pt;position:absolute;mso-position-horizontal-relative:page;mso-position-horizontal:absolute;margin-left:25.98pt;mso-position-vertical-relative:page;margin-top:0pt;" coordsize="71178,20962">
                <v:shape id="Picture 7" style="position:absolute;width:71178;height:10485;left:0;top:0;" filled="f">
                  <v:imagedata r:id="rId9"/>
                </v:shape>
                <v:shape id="Picture 9" style="position:absolute;width:71178;height:10477;left:0;top:10485;" filled="f">
                  <v:imagedata r:id="rId10"/>
                </v:shape>
                <v:rect id="Rectangle 12" style="position:absolute;width:393;height:1777;left:11018;top:273;" filled="f" stroked="f">
                  <v:textbox inset="0,0,0,0">
                    <w:txbxContent>
                      <w:p>
                        <w:pPr>
                          <w:spacing w:before="0" w:after="160" w:line="259" w:lineRule="auto"/>
                          <w:ind w:left="0" w:firstLine="0"/>
                          <w:jc w:val="left"/>
                        </w:pPr>
                        <w:r>
                          <w:rPr>
                            <w:rFonts w:cs="Calibri" w:hAnsi="Calibri" w:eastAsia="Calibri" w:ascii="Calibri"/>
                            <w:sz w:val="21"/>
                          </w:rPr>
                          <w:t xml:space="preserve"> </w:t>
                        </w:r>
                      </w:p>
                    </w:txbxContent>
                  </v:textbox>
                </v:rect>
                <v:rect id="Rectangle 14" style="position:absolute;width:8892;height:1191;left:11018;top:11063;" filled="f" stroked="f">
                  <v:textbox inset="0,0,0,0">
                    <w:txbxContent>
                      <w:p>
                        <w:pPr>
                          <w:spacing w:before="0" w:after="160" w:line="259" w:lineRule="auto"/>
                          <w:ind w:left="0" w:firstLine="0"/>
                          <w:jc w:val="left"/>
                        </w:pPr>
                        <w:r>
                          <w:rPr>
                            <w:sz w:val="15"/>
                          </w:rPr>
                          <w:t xml:space="preserve">Our reference:  </w:t>
                        </w:r>
                      </w:p>
                    </w:txbxContent>
                  </v:textbox>
                </v:rect>
                <v:rect id="Rectangle 15" style="position:absolute;width:31019;height:1191;left:17708;top:11063;" filled="f" stroked="f">
                  <v:textbox inset="0,0,0,0">
                    <w:txbxContent>
                      <w:p>
                        <w:pPr>
                          <w:spacing w:before="0" w:after="160" w:line="259" w:lineRule="auto"/>
                          <w:ind w:left="0" w:firstLine="0"/>
                          <w:jc w:val="left"/>
                        </w:pPr>
                        <w:r>
                          <w:rPr>
                            <w:rFonts w:cs="Arial" w:hAnsi="Arial" w:eastAsia="Arial" w:ascii="Arial"/>
                            <w:i w:val="1"/>
                            <w:sz w:val="15"/>
                          </w:rPr>
                          <w:t xml:space="preserve">RTI &amp; PRIVACY/SD – RTIPSC40IR – DOC/22/137197 </w:t>
                        </w:r>
                      </w:p>
                    </w:txbxContent>
                  </v:textbox>
                </v:rect>
                <v:rect id="Rectangle 16" style="position:absolute;width:507;height:1720;left:11018;top:12249;" filled="f" stroked="f">
                  <v:textbox inset="0,0,0,0">
                    <w:txbxContent>
                      <w:p>
                        <w:pPr>
                          <w:spacing w:before="0" w:after="160" w:line="259" w:lineRule="auto"/>
                          <w:ind w:left="0" w:firstLine="0"/>
                          <w:jc w:val="left"/>
                        </w:pPr>
                        <w:r>
                          <w:rPr/>
                          <w:t xml:space="preserve"> </w:t>
                        </w:r>
                      </w:p>
                    </w:txbxContent>
                  </v:textbox>
                </v:rect>
                <v:rect id="Rectangle 5106" style="position:absolute;width:1015;height:1720;left:11018;top:14032;" filled="f" stroked="f">
                  <v:textbox inset="0,0,0,0">
                    <w:txbxContent>
                      <w:p>
                        <w:pPr>
                          <w:spacing w:before="0" w:after="160" w:line="259" w:lineRule="auto"/>
                          <w:ind w:left="0" w:firstLine="0"/>
                          <w:jc w:val="left"/>
                        </w:pPr>
                        <w:r>
                          <w:rPr/>
                          <w:t xml:space="preserve">2</w:t>
                        </w:r>
                      </w:p>
                    </w:txbxContent>
                  </v:textbox>
                </v:rect>
                <v:rect id="Rectangle 5113" style="position:absolute;width:11268;height:1720;left:11780;top:14032;" filled="f" stroked="f">
                  <v:textbox inset="0,0,0,0">
                    <w:txbxContent>
                      <w:p>
                        <w:pPr>
                          <w:spacing w:before="0" w:after="160" w:line="259" w:lineRule="auto"/>
                          <w:ind w:left="0" w:firstLine="0"/>
                          <w:jc w:val="left"/>
                        </w:pPr>
                        <w:r>
                          <w:rPr/>
                          <w:t xml:space="preserve"> August 2022 </w:t>
                        </w:r>
                      </w:p>
                    </w:txbxContent>
                  </v:textbox>
                </v:rect>
                <v:rect id="Rectangle 18" style="position:absolute;width:507;height:1720;left:11018;top:15830;" filled="f" stroked="f">
                  <v:textbox inset="0,0,0,0">
                    <w:txbxContent>
                      <w:p>
                        <w:pPr>
                          <w:spacing w:before="0" w:after="160" w:line="259" w:lineRule="auto"/>
                          <w:ind w:left="0" w:firstLine="0"/>
                          <w:jc w:val="left"/>
                        </w:pPr>
                        <w:r>
                          <w:rPr/>
                          <w:t xml:space="preserve"> </w:t>
                        </w:r>
                      </w:p>
                    </w:txbxContent>
                  </v:textbox>
                </v:rect>
                <v:rect id="Rectangle 19" style="position:absolute;width:507;height:1720;left:11018;top:17621;"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Background </w:t>
      </w:r>
    </w:p>
    <w:p w14:paraId="3598D5A3" w14:textId="77777777" w:rsidR="00DA700D" w:rsidRDefault="00000000">
      <w:pPr>
        <w:spacing w:after="14" w:line="259" w:lineRule="auto"/>
        <w:ind w:left="26" w:firstLine="0"/>
        <w:jc w:val="left"/>
      </w:pPr>
      <w:r>
        <w:t xml:space="preserve"> </w:t>
      </w:r>
    </w:p>
    <w:p w14:paraId="43489552" w14:textId="77777777" w:rsidR="00DA700D" w:rsidRDefault="00000000">
      <w:pPr>
        <w:ind w:left="21"/>
      </w:pPr>
      <w:r>
        <w:t xml:space="preserve">Your original Right to Information (RTI) application made to the PSC on 17 May 2022, sought access to: </w:t>
      </w:r>
    </w:p>
    <w:p w14:paraId="52955317" w14:textId="77777777" w:rsidR="00DA700D" w:rsidRDefault="00000000">
      <w:pPr>
        <w:spacing w:after="13" w:line="259" w:lineRule="auto"/>
        <w:ind w:left="26" w:firstLine="0"/>
        <w:jc w:val="left"/>
      </w:pPr>
      <w:r>
        <w:t xml:space="preserve"> </w:t>
      </w:r>
    </w:p>
    <w:p w14:paraId="45A16D33" w14:textId="77777777" w:rsidR="00DA700D" w:rsidRDefault="00000000">
      <w:pPr>
        <w:spacing w:line="266" w:lineRule="auto"/>
        <w:ind w:left="333"/>
      </w:pPr>
      <w:r>
        <w:rPr>
          <w:i/>
        </w:rPr>
        <w:t xml:space="preserve">Revised scope 18 May 2022: </w:t>
      </w:r>
    </w:p>
    <w:p w14:paraId="5CE7212E" w14:textId="77777777" w:rsidR="00DA700D" w:rsidRDefault="00000000">
      <w:pPr>
        <w:spacing w:after="14" w:line="259" w:lineRule="auto"/>
        <w:ind w:left="424" w:firstLine="0"/>
        <w:jc w:val="left"/>
      </w:pPr>
      <w:r>
        <w:rPr>
          <w:i/>
        </w:rPr>
        <w:t xml:space="preserve"> </w:t>
      </w:r>
    </w:p>
    <w:p w14:paraId="29F0D1E1" w14:textId="77777777" w:rsidR="00DA700D" w:rsidRDefault="00000000">
      <w:pPr>
        <w:numPr>
          <w:ilvl w:val="0"/>
          <w:numId w:val="1"/>
        </w:numPr>
        <w:spacing w:line="266" w:lineRule="auto"/>
        <w:ind w:left="620" w:hanging="340"/>
      </w:pPr>
      <w:r>
        <w:rPr>
          <w:i/>
        </w:rPr>
        <w:t xml:space="preserve">The formal response sent from the PSC to the Coal Workers’ Pneumoconiosis Select Committee on 21 August 2017, regarding the Black Lung, White Lies (Coal Workers’ Pneumoconiosis Select Committee) report, relating to Recommendation 67. </w:t>
      </w:r>
    </w:p>
    <w:p w14:paraId="16B07B5C" w14:textId="77777777" w:rsidR="00DA700D" w:rsidRDefault="00000000">
      <w:pPr>
        <w:numPr>
          <w:ilvl w:val="0"/>
          <w:numId w:val="1"/>
        </w:numPr>
        <w:spacing w:line="266" w:lineRule="auto"/>
        <w:ind w:left="620" w:hanging="340"/>
      </w:pPr>
      <w:r>
        <w:rPr>
          <w:i/>
        </w:rPr>
        <w:t xml:space="preserve">Any response from the Select Committee acknowledging receipt of the formal response. </w:t>
      </w:r>
    </w:p>
    <w:p w14:paraId="0B792B01" w14:textId="77777777" w:rsidR="00DA700D" w:rsidRDefault="00000000">
      <w:pPr>
        <w:numPr>
          <w:ilvl w:val="0"/>
          <w:numId w:val="1"/>
        </w:numPr>
        <w:spacing w:line="266" w:lineRule="auto"/>
        <w:ind w:left="620" w:hanging="340"/>
      </w:pPr>
      <w:r>
        <w:rPr>
          <w:i/>
        </w:rPr>
        <w:t xml:space="preserve">Any correspondence between the PSC and the Ethics Committee in relation to Recommendation 67. </w:t>
      </w:r>
    </w:p>
    <w:p w14:paraId="427369C7" w14:textId="77777777" w:rsidR="00DA700D" w:rsidRDefault="00000000">
      <w:pPr>
        <w:spacing w:after="13" w:line="259" w:lineRule="auto"/>
        <w:ind w:left="424" w:firstLine="0"/>
        <w:jc w:val="left"/>
      </w:pPr>
      <w:r>
        <w:rPr>
          <w:i/>
        </w:rPr>
        <w:t xml:space="preserve">  </w:t>
      </w:r>
    </w:p>
    <w:p w14:paraId="60ADDBC5" w14:textId="77777777" w:rsidR="00DA700D" w:rsidRDefault="00000000">
      <w:pPr>
        <w:spacing w:line="266" w:lineRule="auto"/>
        <w:ind w:left="290"/>
      </w:pPr>
      <w:r>
        <w:rPr>
          <w:i/>
        </w:rPr>
        <w:t>Date range: 14 August 2017 to 17 September 2017.</w:t>
      </w:r>
      <w:r>
        <w:t xml:space="preserve"> </w:t>
      </w:r>
    </w:p>
    <w:p w14:paraId="08D504AA" w14:textId="77777777" w:rsidR="00DA700D" w:rsidRDefault="00000000">
      <w:pPr>
        <w:spacing w:after="259" w:line="259" w:lineRule="auto"/>
        <w:ind w:left="-1709" w:right="-1062" w:firstLine="0"/>
        <w:jc w:val="left"/>
      </w:pPr>
      <w:r>
        <w:rPr>
          <w:rFonts w:ascii="Calibri" w:eastAsia="Calibri" w:hAnsi="Calibri" w:cs="Calibri"/>
          <w:noProof/>
        </w:rPr>
        <w:lastRenderedPageBreak/>
        <mc:AlternateContent>
          <mc:Choice Requires="wpg">
            <w:drawing>
              <wp:inline distT="0" distB="0" distL="0" distR="0" wp14:anchorId="4D4B409F" wp14:editId="5AFAEE93">
                <wp:extent cx="7111746" cy="937260"/>
                <wp:effectExtent l="0" t="0" r="0" b="0"/>
                <wp:docPr id="5677" name="Group 5677"/>
                <wp:cNvGraphicFramePr/>
                <a:graphic xmlns:a="http://schemas.openxmlformats.org/drawingml/2006/main">
                  <a:graphicData uri="http://schemas.microsoft.com/office/word/2010/wordprocessingGroup">
                    <wpg:wgp>
                      <wpg:cNvGrpSpPr/>
                      <wpg:grpSpPr>
                        <a:xfrm>
                          <a:off x="0" y="0"/>
                          <a:ext cx="7111746" cy="937260"/>
                          <a:chOff x="0" y="0"/>
                          <a:chExt cx="7111746" cy="937260"/>
                        </a:xfrm>
                      </wpg:grpSpPr>
                      <pic:pic xmlns:pic="http://schemas.openxmlformats.org/drawingml/2006/picture">
                        <pic:nvPicPr>
                          <pic:cNvPr id="11" name="Picture 11"/>
                          <pic:cNvPicPr/>
                        </pic:nvPicPr>
                        <pic:blipFill>
                          <a:blip r:embed="rId11"/>
                          <a:stretch>
                            <a:fillRect/>
                          </a:stretch>
                        </pic:blipFill>
                        <pic:spPr>
                          <a:xfrm>
                            <a:off x="0" y="0"/>
                            <a:ext cx="7111746" cy="937260"/>
                          </a:xfrm>
                          <a:prstGeom prst="rect">
                            <a:avLst/>
                          </a:prstGeom>
                        </pic:spPr>
                      </pic:pic>
                      <wps:wsp>
                        <wps:cNvPr id="72" name="Rectangle 72"/>
                        <wps:cNvSpPr/>
                        <wps:spPr>
                          <a:xfrm>
                            <a:off x="1101865" y="106173"/>
                            <a:ext cx="50793" cy="172062"/>
                          </a:xfrm>
                          <a:prstGeom prst="rect">
                            <a:avLst/>
                          </a:prstGeom>
                          <a:ln>
                            <a:noFill/>
                          </a:ln>
                        </wps:spPr>
                        <wps:txbx>
                          <w:txbxContent>
                            <w:p w14:paraId="7E621CD8" w14:textId="77777777" w:rsidR="00DA700D"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77" style="width:559.98pt;height:73.8pt;mso-position-horizontal-relative:char;mso-position-vertical-relative:line" coordsize="71117,9372">
                <v:shape id="Picture 11" style="position:absolute;width:71117;height:9372;left:0;top:0;" filled="f">
                  <v:imagedata r:id="rId12"/>
                </v:shape>
                <v:rect id="Rectangle 72" style="position:absolute;width:507;height:1720;left:11018;top:1061;" filled="f" stroked="f">
                  <v:textbox inset="0,0,0,0">
                    <w:txbxContent>
                      <w:p>
                        <w:pPr>
                          <w:spacing w:before="0" w:after="160" w:line="259" w:lineRule="auto"/>
                          <w:ind w:left="0" w:firstLine="0"/>
                          <w:jc w:val="left"/>
                        </w:pPr>
                        <w:r>
                          <w:rPr/>
                          <w:t xml:space="preserve"> </w:t>
                        </w:r>
                      </w:p>
                    </w:txbxContent>
                  </v:textbox>
                </v:rect>
              </v:group>
            </w:pict>
          </mc:Fallback>
        </mc:AlternateContent>
      </w:r>
    </w:p>
    <w:p w14:paraId="6F20970A" w14:textId="77777777" w:rsidR="00DA700D" w:rsidRDefault="00000000">
      <w:pPr>
        <w:spacing w:after="0" w:line="259" w:lineRule="auto"/>
        <w:ind w:left="26" w:firstLine="0"/>
        <w:jc w:val="left"/>
      </w:pPr>
      <w:r>
        <w:rPr>
          <w:rFonts w:ascii="Calibri" w:eastAsia="Calibri" w:hAnsi="Calibri" w:cs="Calibri"/>
          <w:sz w:val="21"/>
        </w:rPr>
        <w:t xml:space="preserve"> </w:t>
      </w:r>
    </w:p>
    <w:p w14:paraId="504F5E0E" w14:textId="77777777" w:rsidR="00DA700D" w:rsidRDefault="00000000">
      <w:pPr>
        <w:ind w:left="21"/>
      </w:pPr>
      <w:r>
        <w:t>Your application was processed, under delegation, by the Department of the Premier and Cabinet (</w:t>
      </w:r>
      <w:r>
        <w:rPr>
          <w:b/>
        </w:rPr>
        <w:t>department</w:t>
      </w:r>
      <w:r>
        <w:t xml:space="preserve">). Ms Haling’s access decision on your application on 5 July 2022, was to: </w:t>
      </w:r>
    </w:p>
    <w:p w14:paraId="0FD83002" w14:textId="77777777" w:rsidR="00DA700D" w:rsidRDefault="00000000">
      <w:pPr>
        <w:spacing w:after="14" w:line="259" w:lineRule="auto"/>
        <w:ind w:left="25" w:firstLine="0"/>
        <w:jc w:val="left"/>
      </w:pPr>
      <w:r>
        <w:t xml:space="preserve"> </w:t>
      </w:r>
    </w:p>
    <w:p w14:paraId="73B665EF" w14:textId="77777777" w:rsidR="00DA700D" w:rsidRDefault="00000000">
      <w:pPr>
        <w:numPr>
          <w:ilvl w:val="0"/>
          <w:numId w:val="2"/>
        </w:numPr>
        <w:ind w:left="704" w:hanging="340"/>
      </w:pPr>
      <w:r>
        <w:t xml:space="preserve">refuse access to two pages of documents responsive to Part 1 of the request, pursuant to Sections 47(3)(a) and 48 of the RTI Act, as the information is </w:t>
      </w:r>
      <w:r>
        <w:rPr>
          <w:i/>
        </w:rPr>
        <w:t xml:space="preserve">exempt </w:t>
      </w:r>
      <w:r>
        <w:t xml:space="preserve">information under Schedule 3, section 6(c)(i) of the RTI Act (information disclosure of which would infringe the privileges of Parliament).  </w:t>
      </w:r>
    </w:p>
    <w:p w14:paraId="37717E48" w14:textId="77777777" w:rsidR="00DA700D" w:rsidRDefault="00000000">
      <w:pPr>
        <w:spacing w:after="14" w:line="259" w:lineRule="auto"/>
        <w:ind w:left="25" w:firstLine="0"/>
        <w:jc w:val="left"/>
      </w:pPr>
      <w:r>
        <w:t xml:space="preserve"> </w:t>
      </w:r>
    </w:p>
    <w:p w14:paraId="18065EC2" w14:textId="77777777" w:rsidR="00DA700D" w:rsidRDefault="00000000">
      <w:pPr>
        <w:numPr>
          <w:ilvl w:val="0"/>
          <w:numId w:val="2"/>
        </w:numPr>
        <w:ind w:left="704" w:hanging="340"/>
      </w:pPr>
      <w:r>
        <w:t xml:space="preserve">refuse access to documents relevant to parts 2 and 3 of your request, under Section 52(1)(a) of the RTI Act on the basis that the documents do not exist.   </w:t>
      </w:r>
    </w:p>
    <w:p w14:paraId="476E00B5" w14:textId="77777777" w:rsidR="00DA700D" w:rsidRDefault="00000000">
      <w:pPr>
        <w:spacing w:after="13" w:line="259" w:lineRule="auto"/>
        <w:ind w:left="25" w:firstLine="0"/>
        <w:jc w:val="left"/>
      </w:pPr>
      <w:r>
        <w:t xml:space="preserve"> </w:t>
      </w:r>
    </w:p>
    <w:p w14:paraId="621DFD7D" w14:textId="77777777" w:rsidR="00DA700D" w:rsidRDefault="00000000">
      <w:pPr>
        <w:pStyle w:val="Heading1"/>
        <w:ind w:left="21"/>
      </w:pPr>
      <w:r>
        <w:t xml:space="preserve">Your application for internal review: matters in issue </w:t>
      </w:r>
    </w:p>
    <w:p w14:paraId="3392872B" w14:textId="77777777" w:rsidR="00DA700D" w:rsidRDefault="00000000">
      <w:pPr>
        <w:spacing w:after="14" w:line="259" w:lineRule="auto"/>
        <w:ind w:left="25" w:firstLine="0"/>
        <w:jc w:val="left"/>
      </w:pPr>
      <w:r>
        <w:rPr>
          <w:b/>
        </w:rPr>
        <w:t xml:space="preserve"> </w:t>
      </w:r>
    </w:p>
    <w:p w14:paraId="17583F89" w14:textId="77777777" w:rsidR="00DA700D" w:rsidRDefault="00000000">
      <w:pPr>
        <w:ind w:left="21"/>
      </w:pPr>
      <w:r>
        <w:t xml:space="preserve">By email on 5 July 2022, you advised you wanted to lodge an internal review. You spoke with Ms Haling on 6 July 2022 and clarified you are requesting a review on the basis of the decision to refuse access, and also on the sufficiency of PSC’s searches. </w:t>
      </w:r>
    </w:p>
    <w:p w14:paraId="2F8A261D" w14:textId="77777777" w:rsidR="00DA700D" w:rsidRDefault="00000000">
      <w:pPr>
        <w:spacing w:after="14" w:line="259" w:lineRule="auto"/>
        <w:ind w:left="25" w:firstLine="0"/>
        <w:jc w:val="left"/>
      </w:pPr>
      <w:r>
        <w:rPr>
          <w:b/>
        </w:rPr>
        <w:t xml:space="preserve"> </w:t>
      </w:r>
    </w:p>
    <w:p w14:paraId="61E4FAFA" w14:textId="77777777" w:rsidR="00DA700D" w:rsidRDefault="00000000">
      <w:pPr>
        <w:ind w:left="21"/>
      </w:pPr>
      <w:r>
        <w:t xml:space="preserve">Further, by email dated 7 July 2022, you advised:  </w:t>
      </w:r>
    </w:p>
    <w:p w14:paraId="287D3DDC" w14:textId="77777777" w:rsidR="00DA700D" w:rsidRDefault="00000000">
      <w:pPr>
        <w:spacing w:after="13" w:line="259" w:lineRule="auto"/>
        <w:ind w:left="25" w:firstLine="0"/>
        <w:jc w:val="left"/>
      </w:pPr>
      <w:r>
        <w:rPr>
          <w:b/>
        </w:rPr>
        <w:t xml:space="preserve"> </w:t>
      </w:r>
    </w:p>
    <w:p w14:paraId="67BAF01E" w14:textId="77777777" w:rsidR="00DA700D" w:rsidRDefault="00000000">
      <w:pPr>
        <w:spacing w:line="266" w:lineRule="auto"/>
        <w:ind w:left="698"/>
      </w:pPr>
      <w:r>
        <w:rPr>
          <w:i/>
        </w:rPr>
        <w:t xml:space="preserve">As part of the Review I am seeking information on how the PSC </w:t>
      </w:r>
    </w:p>
    <w:p w14:paraId="099AAEE1" w14:textId="77777777" w:rsidR="00DA700D" w:rsidRDefault="00000000">
      <w:pPr>
        <w:spacing w:line="266" w:lineRule="auto"/>
        <w:ind w:left="698"/>
      </w:pPr>
      <w:r>
        <w:rPr>
          <w:i/>
        </w:rPr>
        <w:t xml:space="preserve">Correspondence to the Black Lung White Lies (BLWL) Committee was delivered and proof of receipt by the Committee. </w:t>
      </w:r>
    </w:p>
    <w:p w14:paraId="0E33AA82" w14:textId="77777777" w:rsidR="00DA700D" w:rsidRDefault="00000000">
      <w:pPr>
        <w:spacing w:after="13" w:line="259" w:lineRule="auto"/>
        <w:ind w:left="703" w:firstLine="0"/>
        <w:jc w:val="left"/>
      </w:pPr>
      <w:r>
        <w:rPr>
          <w:i/>
        </w:rPr>
        <w:t xml:space="preserve"> </w:t>
      </w:r>
    </w:p>
    <w:p w14:paraId="6F20FC9D" w14:textId="77777777" w:rsidR="00DA700D" w:rsidRDefault="00000000">
      <w:pPr>
        <w:spacing w:line="266" w:lineRule="auto"/>
        <w:ind w:left="698"/>
      </w:pPr>
      <w:r>
        <w:rPr>
          <w:i/>
        </w:rPr>
        <w:t xml:space="preserve">For example </w:t>
      </w:r>
    </w:p>
    <w:p w14:paraId="5F880680" w14:textId="77777777" w:rsidR="00DA700D" w:rsidRDefault="00000000">
      <w:pPr>
        <w:spacing w:after="13" w:line="259" w:lineRule="auto"/>
        <w:ind w:left="703" w:firstLine="0"/>
        <w:jc w:val="left"/>
      </w:pPr>
      <w:r>
        <w:rPr>
          <w:i/>
        </w:rPr>
        <w:t xml:space="preserve"> </w:t>
      </w:r>
    </w:p>
    <w:p w14:paraId="006E32E6" w14:textId="77777777" w:rsidR="00DA700D" w:rsidRDefault="00000000">
      <w:pPr>
        <w:numPr>
          <w:ilvl w:val="0"/>
          <w:numId w:val="3"/>
        </w:numPr>
        <w:spacing w:line="266" w:lineRule="auto"/>
        <w:ind w:left="1026" w:hanging="338"/>
      </w:pPr>
      <w:r>
        <w:rPr>
          <w:i/>
        </w:rPr>
        <w:t xml:space="preserve">Was it via email directly to the Committee members? or </w:t>
      </w:r>
    </w:p>
    <w:p w14:paraId="1EA33F3B" w14:textId="77777777" w:rsidR="00DA700D" w:rsidRDefault="00000000">
      <w:pPr>
        <w:numPr>
          <w:ilvl w:val="0"/>
          <w:numId w:val="3"/>
        </w:numPr>
        <w:spacing w:line="266" w:lineRule="auto"/>
        <w:ind w:left="1026" w:hanging="338"/>
      </w:pPr>
      <w:r>
        <w:rPr>
          <w:i/>
        </w:rPr>
        <w:t xml:space="preserve">Was it delivered by Australia Post or Courier? or </w:t>
      </w:r>
    </w:p>
    <w:p w14:paraId="77BD6B36" w14:textId="77777777" w:rsidR="00DA700D" w:rsidRDefault="00000000">
      <w:pPr>
        <w:numPr>
          <w:ilvl w:val="0"/>
          <w:numId w:val="3"/>
        </w:numPr>
        <w:spacing w:line="266" w:lineRule="auto"/>
        <w:ind w:left="1026" w:hanging="338"/>
      </w:pPr>
      <w:r>
        <w:rPr>
          <w:i/>
        </w:rPr>
        <w:t xml:space="preserve">Was the Correspondence delivered via Parliamentary Servicers or similar route? </w:t>
      </w:r>
    </w:p>
    <w:p w14:paraId="38C6E579" w14:textId="77777777" w:rsidR="00DA700D" w:rsidRDefault="00000000">
      <w:pPr>
        <w:numPr>
          <w:ilvl w:val="0"/>
          <w:numId w:val="3"/>
        </w:numPr>
        <w:spacing w:line="266" w:lineRule="auto"/>
        <w:ind w:left="1026" w:hanging="338"/>
      </w:pPr>
      <w:r>
        <w:rPr>
          <w:i/>
        </w:rPr>
        <w:t xml:space="preserve">What process and proof exists that the BLWL Committee received the PSC Correspondence? </w:t>
      </w:r>
    </w:p>
    <w:p w14:paraId="415E35F0" w14:textId="77777777" w:rsidR="00DA700D" w:rsidRDefault="00000000">
      <w:pPr>
        <w:spacing w:after="0" w:line="259" w:lineRule="auto"/>
        <w:ind w:left="364" w:firstLine="0"/>
        <w:jc w:val="left"/>
      </w:pPr>
      <w:r>
        <w:rPr>
          <w:b/>
        </w:rPr>
        <w:t xml:space="preserve"> </w:t>
      </w:r>
    </w:p>
    <w:p w14:paraId="56481001" w14:textId="77777777" w:rsidR="00DA700D" w:rsidRDefault="00000000">
      <w:pPr>
        <w:pStyle w:val="Heading1"/>
        <w:ind w:left="21"/>
      </w:pPr>
      <w:r>
        <w:t xml:space="preserve">Right of access </w:t>
      </w:r>
    </w:p>
    <w:p w14:paraId="259ACBB5" w14:textId="77777777" w:rsidR="00DA700D" w:rsidRDefault="00000000">
      <w:pPr>
        <w:spacing w:after="7" w:line="259" w:lineRule="auto"/>
        <w:ind w:left="25" w:firstLine="0"/>
        <w:jc w:val="left"/>
      </w:pPr>
      <w:r>
        <w:t xml:space="preserve"> </w:t>
      </w:r>
    </w:p>
    <w:p w14:paraId="3E85B453" w14:textId="77777777" w:rsidR="00DA700D" w:rsidRDefault="00000000">
      <w:pPr>
        <w:spacing w:after="31"/>
        <w:ind w:left="21"/>
      </w:pPr>
      <w:r>
        <w:t>The RTI Act states:</w:t>
      </w:r>
      <w:r>
        <w:rPr>
          <w:vertAlign w:val="superscript"/>
        </w:rPr>
        <w:footnoteReference w:id="1"/>
      </w:r>
      <w:r>
        <w:t xml:space="preserve"> </w:t>
      </w:r>
    </w:p>
    <w:p w14:paraId="2A639844" w14:textId="77777777" w:rsidR="00DA700D" w:rsidRDefault="00000000">
      <w:pPr>
        <w:spacing w:after="13" w:line="259" w:lineRule="auto"/>
        <w:ind w:left="25" w:firstLine="0"/>
        <w:jc w:val="left"/>
      </w:pPr>
      <w:r>
        <w:t xml:space="preserve"> </w:t>
      </w:r>
    </w:p>
    <w:p w14:paraId="49D52073" w14:textId="77777777" w:rsidR="00DA700D" w:rsidRDefault="00000000">
      <w:pPr>
        <w:spacing w:line="266" w:lineRule="auto"/>
        <w:ind w:left="698"/>
      </w:pPr>
      <w:r>
        <w:rPr>
          <w:i/>
        </w:rPr>
        <w:t xml:space="preserve">It is the Parliament’s intention that if an access application is made to an agency or Minister for a document, the agency or Minister should decide to give access to the document unless giving access would, on balance, be contrary to the public interest. </w:t>
      </w:r>
    </w:p>
    <w:p w14:paraId="104ABB04" w14:textId="77777777" w:rsidR="00DA700D" w:rsidRDefault="00000000">
      <w:pPr>
        <w:spacing w:after="13" w:line="259" w:lineRule="auto"/>
        <w:ind w:left="25" w:firstLine="0"/>
        <w:jc w:val="left"/>
      </w:pPr>
      <w:r>
        <w:rPr>
          <w:b/>
        </w:rPr>
        <w:lastRenderedPageBreak/>
        <w:t xml:space="preserve"> </w:t>
      </w:r>
    </w:p>
    <w:p w14:paraId="1DF536C3" w14:textId="77777777" w:rsidR="00DA700D" w:rsidRDefault="00000000">
      <w:pPr>
        <w:spacing w:after="360" w:line="259" w:lineRule="auto"/>
        <w:ind w:left="25" w:firstLine="0"/>
        <w:jc w:val="left"/>
      </w:pPr>
      <w:r>
        <w:t xml:space="preserve"> </w:t>
      </w:r>
    </w:p>
    <w:p w14:paraId="6342940E" w14:textId="77777777" w:rsidR="00DA700D" w:rsidRDefault="00000000">
      <w:pPr>
        <w:spacing w:after="0" w:line="259" w:lineRule="auto"/>
        <w:ind w:left="25" w:firstLine="0"/>
        <w:jc w:val="left"/>
      </w:pPr>
      <w:r>
        <w:rPr>
          <w:rFonts w:ascii="Calibri" w:eastAsia="Calibri" w:hAnsi="Calibri" w:cs="Calibri"/>
          <w:noProof/>
        </w:rPr>
        <mc:AlternateContent>
          <mc:Choice Requires="wpg">
            <w:drawing>
              <wp:inline distT="0" distB="0" distL="0" distR="0" wp14:anchorId="679F5CEF" wp14:editId="67BD2D5D">
                <wp:extent cx="1720596" cy="7620"/>
                <wp:effectExtent l="0" t="0" r="0" b="0"/>
                <wp:docPr id="4823" name="Group 4823"/>
                <wp:cNvGraphicFramePr/>
                <a:graphic xmlns:a="http://schemas.openxmlformats.org/drawingml/2006/main">
                  <a:graphicData uri="http://schemas.microsoft.com/office/word/2010/wordprocessingGroup">
                    <wpg:wgp>
                      <wpg:cNvGrpSpPr/>
                      <wpg:grpSpPr>
                        <a:xfrm>
                          <a:off x="0" y="0"/>
                          <a:ext cx="1720596" cy="7620"/>
                          <a:chOff x="0" y="0"/>
                          <a:chExt cx="1720596" cy="7620"/>
                        </a:xfrm>
                      </wpg:grpSpPr>
                      <wps:wsp>
                        <wps:cNvPr id="7193" name="Shape 7193"/>
                        <wps:cNvSpPr/>
                        <wps:spPr>
                          <a:xfrm>
                            <a:off x="0" y="0"/>
                            <a:ext cx="1720596" cy="9144"/>
                          </a:xfrm>
                          <a:custGeom>
                            <a:avLst/>
                            <a:gdLst/>
                            <a:ahLst/>
                            <a:cxnLst/>
                            <a:rect l="0" t="0" r="0" b="0"/>
                            <a:pathLst>
                              <a:path w="1720596" h="9144">
                                <a:moveTo>
                                  <a:pt x="0" y="0"/>
                                </a:moveTo>
                                <a:lnTo>
                                  <a:pt x="1720596" y="0"/>
                                </a:lnTo>
                                <a:lnTo>
                                  <a:pt x="1720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3" style="width:135.48pt;height:0.600037pt;mso-position-horizontal-relative:char;mso-position-vertical-relative:line" coordsize="17205,76">
                <v:shape id="Shape 7194" style="position:absolute;width:17205;height:91;left:0;top:0;" coordsize="1720596,9144" path="m0,0l1720596,0l172059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14:paraId="0C36C64A" w14:textId="77777777" w:rsidR="00DA700D" w:rsidRDefault="00000000">
      <w:pPr>
        <w:ind w:left="21"/>
      </w:pPr>
      <w:r>
        <w:t xml:space="preserve">I note that the access provisions under the RTI Act are for access to documents, and not for answers to specified questions. However, in making my decision regarding access, I will provide any supporting evidence available to me which may, to some degree answer your queries.  </w:t>
      </w:r>
    </w:p>
    <w:p w14:paraId="2C61B942" w14:textId="77777777" w:rsidR="00DA700D" w:rsidRDefault="00000000">
      <w:pPr>
        <w:spacing w:after="13" w:line="259" w:lineRule="auto"/>
        <w:ind w:left="25" w:firstLine="0"/>
        <w:jc w:val="left"/>
      </w:pPr>
      <w:r>
        <w:rPr>
          <w:b/>
        </w:rPr>
        <w:t xml:space="preserve"> </w:t>
      </w:r>
    </w:p>
    <w:p w14:paraId="3C0CF18B" w14:textId="77777777" w:rsidR="00DA700D" w:rsidRDefault="00000000">
      <w:pPr>
        <w:pStyle w:val="Heading1"/>
        <w:ind w:left="21"/>
      </w:pPr>
      <w:r>
        <w:t xml:space="preserve">Internal review decision and reasons for decision </w:t>
      </w:r>
    </w:p>
    <w:p w14:paraId="579B2FCC" w14:textId="77777777" w:rsidR="00DA700D" w:rsidRDefault="00000000">
      <w:pPr>
        <w:spacing w:after="13" w:line="259" w:lineRule="auto"/>
        <w:ind w:left="25" w:firstLine="0"/>
        <w:jc w:val="left"/>
      </w:pPr>
      <w:r>
        <w:rPr>
          <w:b/>
        </w:rPr>
        <w:t xml:space="preserve"> </w:t>
      </w:r>
    </w:p>
    <w:p w14:paraId="778577D4" w14:textId="77777777" w:rsidR="00DA700D" w:rsidRDefault="00000000">
      <w:pPr>
        <w:ind w:left="21"/>
      </w:pPr>
      <w:r>
        <w:t xml:space="preserve">I have decided to uphold Ms Haling’s original decision for the reasons outlined below. </w:t>
      </w:r>
    </w:p>
    <w:p w14:paraId="5652EE3C" w14:textId="77777777" w:rsidR="00DA700D" w:rsidRDefault="00000000">
      <w:pPr>
        <w:spacing w:after="14" w:line="259" w:lineRule="auto"/>
        <w:ind w:left="25" w:firstLine="0"/>
        <w:jc w:val="left"/>
      </w:pPr>
      <w:r>
        <w:rPr>
          <w:b/>
        </w:rPr>
        <w:t xml:space="preserve"> </w:t>
      </w:r>
    </w:p>
    <w:p w14:paraId="468A5521" w14:textId="77777777" w:rsidR="00DA700D" w:rsidRDefault="00000000">
      <w:pPr>
        <w:ind w:left="21"/>
      </w:pPr>
      <w:r>
        <w:t xml:space="preserve">In making my decision, I have considered:  </w:t>
      </w:r>
    </w:p>
    <w:p w14:paraId="43F0AAF4" w14:textId="77777777" w:rsidR="00DA700D" w:rsidRDefault="00000000">
      <w:pPr>
        <w:numPr>
          <w:ilvl w:val="0"/>
          <w:numId w:val="4"/>
        </w:numPr>
        <w:ind w:hanging="276"/>
      </w:pPr>
      <w:r>
        <w:t xml:space="preserve">documents relating to your original application including the document search responses, information provided by PSC, the relevant documents located, third party consultation responses and the decision. </w:t>
      </w:r>
    </w:p>
    <w:p w14:paraId="02DB35ED" w14:textId="77777777" w:rsidR="00DA700D" w:rsidRDefault="00000000">
      <w:pPr>
        <w:numPr>
          <w:ilvl w:val="0"/>
          <w:numId w:val="4"/>
        </w:numPr>
        <w:ind w:hanging="276"/>
      </w:pPr>
      <w:r>
        <w:t xml:space="preserve">further information provided by PSC during the internal review process including responses to requests for additional searches </w:t>
      </w:r>
      <w:r>
        <w:rPr>
          <w:rFonts w:ascii="Segoe UI Symbol" w:eastAsia="Segoe UI Symbol" w:hAnsi="Segoe UI Symbol" w:cs="Segoe UI Symbol"/>
        </w:rPr>
        <w:t></w:t>
      </w:r>
      <w:r>
        <w:t xml:space="preserve"> the relevant provisions of the RTI Act. </w:t>
      </w:r>
    </w:p>
    <w:p w14:paraId="2EB06C10" w14:textId="77777777" w:rsidR="00DA700D" w:rsidRDefault="00000000">
      <w:pPr>
        <w:spacing w:after="13" w:line="259" w:lineRule="auto"/>
        <w:ind w:left="25" w:firstLine="0"/>
        <w:jc w:val="left"/>
      </w:pPr>
      <w:r>
        <w:rPr>
          <w:b/>
        </w:rPr>
        <w:t xml:space="preserve"> </w:t>
      </w:r>
    </w:p>
    <w:p w14:paraId="412E66AD" w14:textId="77777777" w:rsidR="00DA700D" w:rsidRDefault="00000000">
      <w:pPr>
        <w:pStyle w:val="Heading1"/>
        <w:ind w:left="20"/>
      </w:pPr>
      <w:r>
        <w:rPr>
          <w:i/>
        </w:rPr>
        <w:t xml:space="preserve">Scope part 1: Exempt information: Infringe the privilege of Parliament  </w:t>
      </w:r>
    </w:p>
    <w:p w14:paraId="2C25C28E" w14:textId="77777777" w:rsidR="00DA700D" w:rsidRDefault="00000000">
      <w:pPr>
        <w:spacing w:after="13" w:line="259" w:lineRule="auto"/>
        <w:ind w:left="25" w:firstLine="0"/>
        <w:jc w:val="left"/>
      </w:pPr>
      <w:r>
        <w:rPr>
          <w:b/>
        </w:rPr>
        <w:t xml:space="preserve"> </w:t>
      </w:r>
    </w:p>
    <w:p w14:paraId="3FA594E8" w14:textId="77777777" w:rsidR="00DA700D" w:rsidRDefault="00000000">
      <w:pPr>
        <w:ind w:left="21"/>
      </w:pPr>
      <w:r>
        <w:t xml:space="preserve">Part 1 of the scope of your application requested access to: </w:t>
      </w:r>
    </w:p>
    <w:p w14:paraId="4E4E6185" w14:textId="77777777" w:rsidR="00DA700D" w:rsidRDefault="00000000">
      <w:pPr>
        <w:spacing w:after="13" w:line="259" w:lineRule="auto"/>
        <w:ind w:left="25" w:firstLine="0"/>
        <w:jc w:val="left"/>
      </w:pPr>
      <w:r>
        <w:t xml:space="preserve"> </w:t>
      </w:r>
    </w:p>
    <w:p w14:paraId="300011F8" w14:textId="77777777" w:rsidR="00DA700D" w:rsidRDefault="00000000">
      <w:pPr>
        <w:spacing w:line="266" w:lineRule="auto"/>
        <w:ind w:left="2437" w:hanging="338"/>
      </w:pPr>
      <w:r>
        <w:rPr>
          <w:i/>
        </w:rPr>
        <w:t xml:space="preserve">1. The formal response sent from the PSC to the Coal Workers’ Pneumoconiosis Select Committee on 21 August 2017, regarding the Black Lung, White Lies (Coal Workers’ Pneumoconiosis Select Committee) report, relating to Recommendation 67. </w:t>
      </w:r>
    </w:p>
    <w:p w14:paraId="0DBE2B17" w14:textId="77777777" w:rsidR="00DA700D" w:rsidRDefault="00000000">
      <w:pPr>
        <w:spacing w:after="13" w:line="259" w:lineRule="auto"/>
        <w:ind w:left="25" w:firstLine="0"/>
        <w:jc w:val="left"/>
      </w:pPr>
      <w:r>
        <w:t xml:space="preserve"> </w:t>
      </w:r>
    </w:p>
    <w:p w14:paraId="5387DC95" w14:textId="77777777" w:rsidR="00DA700D" w:rsidRDefault="00000000">
      <w:pPr>
        <w:ind w:left="21"/>
      </w:pPr>
      <w:r>
        <w:t>The information in issue (</w:t>
      </w:r>
      <w:r>
        <w:rPr>
          <w:b/>
        </w:rPr>
        <w:t>Information in Issue</w:t>
      </w:r>
      <w:r>
        <w:t xml:space="preserve">) for this internal review comprises the 2 pages relevant to point 1 of the scope of your application. These 2 pages comprise a </w:t>
      </w:r>
    </w:p>
    <w:p w14:paraId="1E26280F" w14:textId="77777777" w:rsidR="00DA700D" w:rsidRDefault="00000000">
      <w:pPr>
        <w:ind w:left="21"/>
      </w:pPr>
      <w:r>
        <w:t>letter dated 21 August 2017 to the Chair of the Coal Workers’ Pneumoconiosis Select Committee (</w:t>
      </w:r>
      <w:r>
        <w:rPr>
          <w:b/>
        </w:rPr>
        <w:t>Committee</w:t>
      </w:r>
      <w:r>
        <w:t xml:space="preserve">) from Mr Robert Setter, Public Service Commission Chief Executive. </w:t>
      </w:r>
    </w:p>
    <w:p w14:paraId="38DB7874" w14:textId="77777777" w:rsidR="00DA700D" w:rsidRDefault="00000000">
      <w:pPr>
        <w:spacing w:after="9" w:line="259" w:lineRule="auto"/>
        <w:ind w:left="25" w:firstLine="0"/>
        <w:jc w:val="left"/>
      </w:pPr>
      <w:r>
        <w:t xml:space="preserve"> </w:t>
      </w:r>
    </w:p>
    <w:p w14:paraId="56A8CC09" w14:textId="77777777" w:rsidR="00DA700D" w:rsidRDefault="00000000">
      <w:pPr>
        <w:ind w:left="21"/>
      </w:pPr>
      <w:r>
        <w:t>An agency may refuse access to documents if they comprise exempt information.</w:t>
      </w:r>
      <w:r>
        <w:rPr>
          <w:vertAlign w:val="superscript"/>
        </w:rPr>
        <w:footnoteReference w:id="2"/>
      </w:r>
      <w:r>
        <w:t xml:space="preserve"> Exempt information is information the disclosure of which the Queensland Parliament has considered would, on balance, be contrary to the public interest. </w:t>
      </w:r>
    </w:p>
    <w:p w14:paraId="24A86391" w14:textId="77777777" w:rsidR="00DA700D" w:rsidRDefault="00000000">
      <w:pPr>
        <w:spacing w:after="0" w:line="259" w:lineRule="auto"/>
        <w:ind w:left="25" w:firstLine="0"/>
        <w:jc w:val="left"/>
      </w:pPr>
      <w:r>
        <w:t xml:space="preserve"> </w:t>
      </w:r>
    </w:p>
    <w:p w14:paraId="6B007389" w14:textId="77777777" w:rsidR="00DA700D" w:rsidRDefault="00000000">
      <w:pPr>
        <w:ind w:left="21"/>
      </w:pPr>
      <w:r>
        <w:t xml:space="preserve">Relevantly, Schedule 3, Section 6(c)(i) of the RTI Act provides: </w:t>
      </w:r>
    </w:p>
    <w:p w14:paraId="0B5D4203" w14:textId="77777777" w:rsidR="00DA700D" w:rsidRDefault="00000000">
      <w:pPr>
        <w:spacing w:after="0" w:line="259" w:lineRule="auto"/>
        <w:ind w:left="0" w:firstLine="0"/>
        <w:jc w:val="left"/>
      </w:pPr>
      <w:r>
        <w:t xml:space="preserve"> </w:t>
      </w:r>
    </w:p>
    <w:p w14:paraId="13BA2EA8" w14:textId="77777777" w:rsidR="00DA700D" w:rsidRDefault="00000000">
      <w:pPr>
        <w:pStyle w:val="Heading2"/>
        <w:ind w:left="374"/>
      </w:pPr>
      <w:r>
        <w:t xml:space="preserve">6 Information disclosure of which would be contempt of court or Parliament </w:t>
      </w:r>
    </w:p>
    <w:p w14:paraId="689C9408" w14:textId="77777777" w:rsidR="00DA700D" w:rsidRDefault="00000000">
      <w:pPr>
        <w:spacing w:after="0" w:line="259" w:lineRule="auto"/>
        <w:ind w:left="364" w:firstLine="0"/>
        <w:jc w:val="left"/>
      </w:pPr>
      <w:r>
        <w:t xml:space="preserve"> </w:t>
      </w:r>
    </w:p>
    <w:p w14:paraId="59E7EF2A" w14:textId="77777777" w:rsidR="00DA700D" w:rsidRDefault="00000000">
      <w:pPr>
        <w:ind w:left="713"/>
      </w:pPr>
      <w:r>
        <w:t xml:space="preserve">Information is exempt information if its public disclosure would, apart from this Act and any immunity of the Crown— </w:t>
      </w:r>
    </w:p>
    <w:p w14:paraId="31CF0C8E" w14:textId="77777777" w:rsidR="00DA700D" w:rsidRDefault="00000000">
      <w:pPr>
        <w:ind w:left="932"/>
      </w:pPr>
      <w:r>
        <w:t xml:space="preserve">…… </w:t>
      </w:r>
    </w:p>
    <w:p w14:paraId="6F216572" w14:textId="77777777" w:rsidR="00DA700D" w:rsidRDefault="00000000">
      <w:pPr>
        <w:spacing w:after="28" w:line="259" w:lineRule="auto"/>
        <w:ind w:left="922" w:firstLine="0"/>
        <w:jc w:val="left"/>
      </w:pPr>
      <w:r>
        <w:t xml:space="preserve"> </w:t>
      </w:r>
    </w:p>
    <w:p w14:paraId="6F3DB9A7" w14:textId="77777777" w:rsidR="00DA700D" w:rsidRDefault="00000000">
      <w:pPr>
        <w:spacing w:after="0" w:line="259" w:lineRule="auto"/>
        <w:ind w:left="25" w:firstLine="0"/>
        <w:jc w:val="left"/>
      </w:pPr>
      <w:r>
        <w:rPr>
          <w:rFonts w:ascii="Calibri" w:eastAsia="Calibri" w:hAnsi="Calibri" w:cs="Calibri"/>
          <w:noProof/>
        </w:rPr>
        <mc:AlternateContent>
          <mc:Choice Requires="wpg">
            <w:drawing>
              <wp:inline distT="0" distB="0" distL="0" distR="0" wp14:anchorId="5F82423E" wp14:editId="23342F39">
                <wp:extent cx="1720596" cy="7620"/>
                <wp:effectExtent l="0" t="0" r="0" b="0"/>
                <wp:docPr id="6022" name="Group 6022"/>
                <wp:cNvGraphicFramePr/>
                <a:graphic xmlns:a="http://schemas.openxmlformats.org/drawingml/2006/main">
                  <a:graphicData uri="http://schemas.microsoft.com/office/word/2010/wordprocessingGroup">
                    <wpg:wgp>
                      <wpg:cNvGrpSpPr/>
                      <wpg:grpSpPr>
                        <a:xfrm>
                          <a:off x="0" y="0"/>
                          <a:ext cx="1720596" cy="7620"/>
                          <a:chOff x="0" y="0"/>
                          <a:chExt cx="1720596" cy="7620"/>
                        </a:xfrm>
                      </wpg:grpSpPr>
                      <wps:wsp>
                        <wps:cNvPr id="7199" name="Shape 7199"/>
                        <wps:cNvSpPr/>
                        <wps:spPr>
                          <a:xfrm>
                            <a:off x="0" y="0"/>
                            <a:ext cx="1720596" cy="9144"/>
                          </a:xfrm>
                          <a:custGeom>
                            <a:avLst/>
                            <a:gdLst/>
                            <a:ahLst/>
                            <a:cxnLst/>
                            <a:rect l="0" t="0" r="0" b="0"/>
                            <a:pathLst>
                              <a:path w="1720596" h="9144">
                                <a:moveTo>
                                  <a:pt x="0" y="0"/>
                                </a:moveTo>
                                <a:lnTo>
                                  <a:pt x="1720596" y="0"/>
                                </a:lnTo>
                                <a:lnTo>
                                  <a:pt x="1720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2" style="width:135.48pt;height:0.600037pt;mso-position-horizontal-relative:char;mso-position-vertical-relative:line" coordsize="17205,76">
                <v:shape id="Shape 7200" style="position:absolute;width:17205;height:91;left:0;top:0;" coordsize="1720596,9144" path="m0,0l1720596,0l172059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14:paraId="2E082398" w14:textId="77777777" w:rsidR="00DA700D" w:rsidRDefault="00000000">
      <w:pPr>
        <w:ind w:left="856"/>
      </w:pPr>
      <w:r>
        <w:t xml:space="preserve">(c) infringe the privileges of— </w:t>
      </w:r>
    </w:p>
    <w:p w14:paraId="094A55AA" w14:textId="77777777" w:rsidR="00DA700D" w:rsidRDefault="00000000">
      <w:pPr>
        <w:spacing w:after="0" w:line="259" w:lineRule="auto"/>
        <w:ind w:left="2242" w:firstLine="0"/>
        <w:jc w:val="left"/>
      </w:pPr>
      <w:r>
        <w:t xml:space="preserve"> </w:t>
      </w:r>
    </w:p>
    <w:p w14:paraId="03C50D43" w14:textId="77777777" w:rsidR="00DA700D" w:rsidRDefault="00000000">
      <w:pPr>
        <w:tabs>
          <w:tab w:val="center" w:pos="1808"/>
          <w:tab w:val="center" w:pos="3035"/>
        </w:tabs>
        <w:ind w:left="0" w:firstLine="0"/>
        <w:jc w:val="left"/>
      </w:pPr>
      <w:r>
        <w:rPr>
          <w:rFonts w:ascii="Calibri" w:eastAsia="Calibri" w:hAnsi="Calibri" w:cs="Calibri"/>
        </w:rPr>
        <w:tab/>
      </w:r>
      <w:r>
        <w:t xml:space="preserve">(i) </w:t>
      </w:r>
      <w:r>
        <w:tab/>
        <w:t xml:space="preserve">Parliament; …… </w:t>
      </w:r>
    </w:p>
    <w:p w14:paraId="399A8727" w14:textId="77777777" w:rsidR="00DA700D" w:rsidRDefault="00000000">
      <w:pPr>
        <w:spacing w:after="0" w:line="259" w:lineRule="auto"/>
        <w:ind w:left="25" w:firstLine="0"/>
        <w:jc w:val="left"/>
      </w:pPr>
      <w:r>
        <w:t xml:space="preserve"> </w:t>
      </w:r>
    </w:p>
    <w:p w14:paraId="783FA567" w14:textId="77777777" w:rsidR="00DA700D" w:rsidRDefault="00000000">
      <w:pPr>
        <w:ind w:left="21"/>
      </w:pPr>
      <w:r>
        <w:t xml:space="preserve">For information to meet the requirements of this exemption: </w:t>
      </w:r>
    </w:p>
    <w:p w14:paraId="3CB95023" w14:textId="77777777" w:rsidR="00DA700D" w:rsidRDefault="00000000">
      <w:pPr>
        <w:numPr>
          <w:ilvl w:val="0"/>
          <w:numId w:val="5"/>
        </w:numPr>
        <w:ind w:hanging="337"/>
      </w:pPr>
      <w:r>
        <w:t xml:space="preserve">the information needs to be subject to parliamentary privilege; and </w:t>
      </w:r>
    </w:p>
    <w:p w14:paraId="2C4421F6" w14:textId="77777777" w:rsidR="00DA700D" w:rsidRDefault="00000000">
      <w:pPr>
        <w:numPr>
          <w:ilvl w:val="0"/>
          <w:numId w:val="5"/>
        </w:numPr>
        <w:ind w:hanging="337"/>
      </w:pPr>
      <w:r>
        <w:t xml:space="preserve">disclosure will infringe the privileges of parliament. </w:t>
      </w:r>
    </w:p>
    <w:p w14:paraId="4CD7ACA3" w14:textId="77777777" w:rsidR="00DA700D" w:rsidRDefault="00000000">
      <w:pPr>
        <w:spacing w:after="0" w:line="259" w:lineRule="auto"/>
        <w:ind w:left="25" w:firstLine="0"/>
        <w:jc w:val="left"/>
      </w:pPr>
      <w:r>
        <w:t xml:space="preserve"> </w:t>
      </w:r>
    </w:p>
    <w:p w14:paraId="0906D3FE" w14:textId="77777777" w:rsidR="00DA700D" w:rsidRDefault="00000000">
      <w:pPr>
        <w:ind w:left="21"/>
      </w:pPr>
      <w:r>
        <w:t xml:space="preserve">In making my decision I have considered: </w:t>
      </w:r>
    </w:p>
    <w:p w14:paraId="65FF6487" w14:textId="77777777" w:rsidR="00DA700D" w:rsidRDefault="00000000">
      <w:pPr>
        <w:numPr>
          <w:ilvl w:val="0"/>
          <w:numId w:val="6"/>
        </w:numPr>
        <w:ind w:hanging="276"/>
      </w:pPr>
      <w:r>
        <w:t xml:space="preserve">the nature of the Information in Issue </w:t>
      </w:r>
    </w:p>
    <w:p w14:paraId="11C08429" w14:textId="77777777" w:rsidR="00DA700D" w:rsidRDefault="00000000">
      <w:pPr>
        <w:numPr>
          <w:ilvl w:val="0"/>
          <w:numId w:val="6"/>
        </w:numPr>
        <w:ind w:hanging="276"/>
      </w:pPr>
      <w:r>
        <w:t xml:space="preserve">relevant third party consultation advice </w:t>
      </w:r>
    </w:p>
    <w:p w14:paraId="219AC8B3" w14:textId="77777777" w:rsidR="00DA700D" w:rsidRDefault="00000000">
      <w:pPr>
        <w:numPr>
          <w:ilvl w:val="0"/>
          <w:numId w:val="6"/>
        </w:numPr>
        <w:ind w:hanging="276"/>
      </w:pPr>
      <w:r>
        <w:t xml:space="preserve">the relevant provisions of the </w:t>
      </w:r>
      <w:r>
        <w:rPr>
          <w:i/>
        </w:rPr>
        <w:t>Parliament of Queensland Act 2001</w:t>
      </w:r>
      <w:r>
        <w:t xml:space="preserve"> (Qld) (</w:t>
      </w:r>
      <w:r>
        <w:rPr>
          <w:b/>
        </w:rPr>
        <w:t>PoQ Act</w:t>
      </w:r>
      <w:r>
        <w:t>)</w:t>
      </w:r>
      <w:r>
        <w:rPr>
          <w:vertAlign w:val="superscript"/>
        </w:rPr>
        <w:footnoteReference w:id="3"/>
      </w:r>
      <w:r>
        <w:t xml:space="preserve"> and the RTI Act (above) </w:t>
      </w:r>
    </w:p>
    <w:p w14:paraId="4A125085" w14:textId="77777777" w:rsidR="00DA700D" w:rsidRDefault="00000000">
      <w:pPr>
        <w:numPr>
          <w:ilvl w:val="0"/>
          <w:numId w:val="6"/>
        </w:numPr>
        <w:ind w:hanging="276"/>
      </w:pPr>
      <w:r>
        <w:t xml:space="preserve">the original decision on the documents. </w:t>
      </w:r>
    </w:p>
    <w:p w14:paraId="3BA7E1D2" w14:textId="77777777" w:rsidR="00DA700D" w:rsidRDefault="00000000">
      <w:pPr>
        <w:spacing w:after="0" w:line="259" w:lineRule="auto"/>
        <w:ind w:left="25" w:firstLine="0"/>
        <w:jc w:val="left"/>
      </w:pPr>
      <w:r>
        <w:t xml:space="preserve"> </w:t>
      </w:r>
    </w:p>
    <w:p w14:paraId="328F1785" w14:textId="77777777" w:rsidR="00DA700D" w:rsidRDefault="00000000">
      <w:pPr>
        <w:ind w:left="21"/>
      </w:pPr>
      <w:r>
        <w:t xml:space="preserve">I am satisfied that:  </w:t>
      </w:r>
    </w:p>
    <w:p w14:paraId="3686282D" w14:textId="77777777" w:rsidR="00DA700D" w:rsidRDefault="00000000">
      <w:pPr>
        <w:spacing w:after="12" w:line="259" w:lineRule="auto"/>
        <w:ind w:left="25" w:firstLine="0"/>
        <w:jc w:val="left"/>
      </w:pPr>
      <w:r>
        <w:t xml:space="preserve"> </w:t>
      </w:r>
    </w:p>
    <w:p w14:paraId="53C01E8A" w14:textId="77777777" w:rsidR="00DA700D" w:rsidRDefault="00000000">
      <w:pPr>
        <w:numPr>
          <w:ilvl w:val="0"/>
          <w:numId w:val="7"/>
        </w:numPr>
        <w:ind w:hanging="340"/>
        <w:jc w:val="left"/>
      </w:pPr>
      <w:r>
        <w:t xml:space="preserve">The Committee was established by Parliament and was in existence in the time period relevant to your RTI application. </w:t>
      </w:r>
    </w:p>
    <w:p w14:paraId="0C6065F5" w14:textId="77777777" w:rsidR="00DA700D" w:rsidRDefault="00000000">
      <w:pPr>
        <w:numPr>
          <w:ilvl w:val="0"/>
          <w:numId w:val="7"/>
        </w:numPr>
        <w:spacing w:after="20" w:line="241" w:lineRule="auto"/>
        <w:ind w:hanging="340"/>
        <w:jc w:val="left"/>
      </w:pPr>
      <w:r>
        <w:t xml:space="preserve">The Information in Issue, being a letter from PSC to the Committee can be classified as </w:t>
      </w:r>
      <w:r>
        <w:rPr>
          <w:i/>
        </w:rPr>
        <w:t>a document tabled in, or presented or submitted to, the Assembly, a committee or an inquiry.</w:t>
      </w:r>
      <w:r>
        <w:rPr>
          <w:vertAlign w:val="superscript"/>
        </w:rPr>
        <w:t>4</w:t>
      </w:r>
      <w:r>
        <w:rPr>
          <w:i/>
        </w:rPr>
        <w:t xml:space="preserve"> </w:t>
      </w:r>
      <w:r>
        <w:t xml:space="preserve"> </w:t>
      </w:r>
    </w:p>
    <w:p w14:paraId="693428F7" w14:textId="77777777" w:rsidR="00DA700D" w:rsidRDefault="00000000">
      <w:pPr>
        <w:spacing w:after="0" w:line="259" w:lineRule="auto"/>
        <w:ind w:left="703" w:firstLine="0"/>
        <w:jc w:val="left"/>
      </w:pPr>
      <w:r>
        <w:t xml:space="preserve"> </w:t>
      </w:r>
    </w:p>
    <w:p w14:paraId="11147814" w14:textId="77777777" w:rsidR="00DA700D" w:rsidRDefault="00000000">
      <w:pPr>
        <w:ind w:left="21"/>
      </w:pPr>
      <w:r>
        <w:t xml:space="preserve">I am also satisfied that disclosure under the RTI Act would not be in accordance with parliamentary processes and would infringe the Parliament’s privilege. </w:t>
      </w:r>
    </w:p>
    <w:p w14:paraId="594F63C4" w14:textId="77777777" w:rsidR="00DA700D" w:rsidRDefault="00000000">
      <w:pPr>
        <w:spacing w:after="0" w:line="259" w:lineRule="auto"/>
        <w:ind w:left="25" w:firstLine="0"/>
        <w:jc w:val="left"/>
      </w:pPr>
      <w:r>
        <w:t xml:space="preserve"> </w:t>
      </w:r>
    </w:p>
    <w:p w14:paraId="55B34180" w14:textId="77777777" w:rsidR="00DA700D" w:rsidRDefault="00000000">
      <w:pPr>
        <w:ind w:left="21"/>
      </w:pPr>
      <w:r>
        <w:t xml:space="preserve">I have no evidence the letter has been otherwise published and therefore I uphold Ms Haling’s decision to refuse access to the two pages in issue under sections 47(3)(a) and 48, and schedule 3(6)(c)(i) of the RTI Act. </w:t>
      </w:r>
    </w:p>
    <w:p w14:paraId="58E4A989" w14:textId="77777777" w:rsidR="00DA700D" w:rsidRDefault="00000000">
      <w:pPr>
        <w:spacing w:after="14" w:line="259" w:lineRule="auto"/>
        <w:ind w:left="25" w:firstLine="0"/>
        <w:jc w:val="left"/>
      </w:pPr>
      <w:r>
        <w:rPr>
          <w:b/>
          <w:i/>
        </w:rPr>
        <w:t xml:space="preserve"> </w:t>
      </w:r>
    </w:p>
    <w:p w14:paraId="5748C509" w14:textId="77777777" w:rsidR="00DA700D" w:rsidRDefault="00000000">
      <w:pPr>
        <w:pStyle w:val="Heading1"/>
        <w:ind w:left="20"/>
      </w:pPr>
      <w:r>
        <w:rPr>
          <w:i/>
        </w:rPr>
        <w:t xml:space="preserve">Scope part 2: documents nonexistent </w:t>
      </w:r>
    </w:p>
    <w:p w14:paraId="1DBBC310" w14:textId="77777777" w:rsidR="00DA700D" w:rsidRDefault="00000000">
      <w:pPr>
        <w:spacing w:after="13" w:line="259" w:lineRule="auto"/>
        <w:ind w:left="25" w:firstLine="0"/>
        <w:jc w:val="left"/>
      </w:pPr>
      <w:r>
        <w:rPr>
          <w:b/>
        </w:rPr>
        <w:t xml:space="preserve"> </w:t>
      </w:r>
    </w:p>
    <w:p w14:paraId="4736F9A7" w14:textId="77777777" w:rsidR="00DA700D" w:rsidRDefault="00000000">
      <w:pPr>
        <w:ind w:left="21"/>
      </w:pPr>
      <w:r>
        <w:t xml:space="preserve">Part 2 of your application sought access to: </w:t>
      </w:r>
    </w:p>
    <w:p w14:paraId="23146864" w14:textId="77777777" w:rsidR="00DA700D" w:rsidRDefault="00000000">
      <w:pPr>
        <w:spacing w:after="13" w:line="259" w:lineRule="auto"/>
        <w:ind w:left="25" w:firstLine="0"/>
        <w:jc w:val="left"/>
      </w:pPr>
      <w:r>
        <w:t xml:space="preserve"> </w:t>
      </w:r>
    </w:p>
    <w:p w14:paraId="60F58D4E" w14:textId="77777777" w:rsidR="00DA700D" w:rsidRDefault="00000000">
      <w:pPr>
        <w:spacing w:line="266" w:lineRule="auto"/>
        <w:ind w:left="2437" w:hanging="338"/>
      </w:pPr>
      <w:r>
        <w:rPr>
          <w:i/>
        </w:rPr>
        <w:t xml:space="preserve">2. Any response from the Select Committee acknowledging receipt of the formal response. </w:t>
      </w:r>
    </w:p>
    <w:p w14:paraId="473AE664" w14:textId="77777777" w:rsidR="00DA700D" w:rsidRDefault="00000000">
      <w:pPr>
        <w:spacing w:after="13" w:line="259" w:lineRule="auto"/>
        <w:ind w:left="25" w:firstLine="0"/>
        <w:jc w:val="left"/>
      </w:pPr>
      <w:r>
        <w:t xml:space="preserve"> </w:t>
      </w:r>
    </w:p>
    <w:p w14:paraId="39A56A3D" w14:textId="77777777" w:rsidR="00DA700D" w:rsidRDefault="00000000">
      <w:pPr>
        <w:ind w:left="21"/>
      </w:pPr>
      <w:r>
        <w:t xml:space="preserve">Under the RTI Act, a person has a right to be given access to documents of an agency.  </w:t>
      </w:r>
    </w:p>
    <w:p w14:paraId="19E96CD2" w14:textId="77777777" w:rsidR="00DA700D" w:rsidRDefault="00000000">
      <w:pPr>
        <w:ind w:left="21"/>
      </w:pPr>
      <w:r>
        <w:t>However, this right is subject to limitations, including grounds for refusal of access.  Sections 47(3)(e) and 52 of the RTI Act provide that access to a document may be refused if the document is nonexistent or unlocatable.</w:t>
      </w:r>
      <w:r>
        <w:rPr>
          <w:i/>
        </w:rPr>
        <w:t xml:space="preserve"> </w:t>
      </w:r>
    </w:p>
    <w:p w14:paraId="2B0072C8" w14:textId="77777777" w:rsidR="00DA700D" w:rsidRDefault="00000000">
      <w:pPr>
        <w:spacing w:after="13" w:line="259" w:lineRule="auto"/>
        <w:ind w:left="25" w:firstLine="0"/>
        <w:jc w:val="left"/>
      </w:pPr>
      <w:r>
        <w:t xml:space="preserve"> </w:t>
      </w:r>
    </w:p>
    <w:p w14:paraId="4B4028DD" w14:textId="77777777" w:rsidR="00DA700D" w:rsidRDefault="00000000">
      <w:pPr>
        <w:spacing w:after="122"/>
        <w:ind w:left="21"/>
      </w:pPr>
      <w:r>
        <w:t>A document is unlocatable if it has been or should be in the agency’s possession and all reasonable steps have been taken to find the document but it cannot be found.</w:t>
      </w:r>
      <w:r>
        <w:rPr>
          <w:vertAlign w:val="superscript"/>
        </w:rPr>
        <w:footnoteReference w:id="4"/>
      </w:r>
      <w:r>
        <w:t xml:space="preserve"> There is nothing before me to indicate that relevant document/s exist but cannot be located. </w:t>
      </w:r>
    </w:p>
    <w:p w14:paraId="776C87B0" w14:textId="77777777" w:rsidR="00DA700D" w:rsidRDefault="00000000">
      <w:pPr>
        <w:spacing w:after="0" w:line="259" w:lineRule="auto"/>
        <w:ind w:left="25" w:firstLine="0"/>
        <w:jc w:val="left"/>
      </w:pPr>
      <w:r>
        <w:rPr>
          <w:rFonts w:ascii="Calibri" w:eastAsia="Calibri" w:hAnsi="Calibri" w:cs="Calibri"/>
          <w:noProof/>
        </w:rPr>
        <mc:AlternateContent>
          <mc:Choice Requires="wpg">
            <w:drawing>
              <wp:inline distT="0" distB="0" distL="0" distR="0" wp14:anchorId="24046A5C" wp14:editId="58711E4B">
                <wp:extent cx="1720596" cy="7620"/>
                <wp:effectExtent l="0" t="0" r="0" b="0"/>
                <wp:docPr id="5127" name="Group 5127"/>
                <wp:cNvGraphicFramePr/>
                <a:graphic xmlns:a="http://schemas.openxmlformats.org/drawingml/2006/main">
                  <a:graphicData uri="http://schemas.microsoft.com/office/word/2010/wordprocessingGroup">
                    <wpg:wgp>
                      <wpg:cNvGrpSpPr/>
                      <wpg:grpSpPr>
                        <a:xfrm>
                          <a:off x="0" y="0"/>
                          <a:ext cx="1720596" cy="7620"/>
                          <a:chOff x="0" y="0"/>
                          <a:chExt cx="1720596" cy="7620"/>
                        </a:xfrm>
                      </wpg:grpSpPr>
                      <wps:wsp>
                        <wps:cNvPr id="7217" name="Shape 7217"/>
                        <wps:cNvSpPr/>
                        <wps:spPr>
                          <a:xfrm>
                            <a:off x="0" y="0"/>
                            <a:ext cx="1720596" cy="9144"/>
                          </a:xfrm>
                          <a:custGeom>
                            <a:avLst/>
                            <a:gdLst/>
                            <a:ahLst/>
                            <a:cxnLst/>
                            <a:rect l="0" t="0" r="0" b="0"/>
                            <a:pathLst>
                              <a:path w="1720596" h="9144">
                                <a:moveTo>
                                  <a:pt x="0" y="0"/>
                                </a:moveTo>
                                <a:lnTo>
                                  <a:pt x="1720596" y="0"/>
                                </a:lnTo>
                                <a:lnTo>
                                  <a:pt x="1720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7" style="width:135.48pt;height:0.600037pt;mso-position-horizontal-relative:char;mso-position-vertical-relative:line" coordsize="17205,76">
                <v:shape id="Shape 7218" style="position:absolute;width:17205;height:91;left:0;top:0;" coordsize="1720596,9144" path="m0,0l1720596,0l172059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14:paraId="199E703D" w14:textId="77777777" w:rsidR="00DA700D" w:rsidRDefault="00000000">
      <w:pPr>
        <w:ind w:left="21"/>
      </w:pPr>
      <w:r>
        <w:t>An agency may refuse access to documents on the basis the document is nonexistent</w:t>
      </w:r>
      <w:r>
        <w:rPr>
          <w:vertAlign w:val="superscript"/>
        </w:rPr>
        <w:footnoteReference w:id="5"/>
      </w:r>
      <w:r>
        <w:t xml:space="preserve"> if the agency is satisfied the document does not exist.</w:t>
      </w:r>
      <w:r>
        <w:rPr>
          <w:vertAlign w:val="superscript"/>
        </w:rPr>
        <w:footnoteReference w:id="6"/>
      </w:r>
      <w:r>
        <w:t xml:space="preserve">  </w:t>
      </w:r>
    </w:p>
    <w:p w14:paraId="6E448D07" w14:textId="77777777" w:rsidR="00DA700D" w:rsidRDefault="00000000">
      <w:pPr>
        <w:spacing w:after="0" w:line="259" w:lineRule="auto"/>
        <w:ind w:left="25" w:firstLine="0"/>
        <w:jc w:val="left"/>
      </w:pPr>
      <w:r>
        <w:rPr>
          <w:b/>
        </w:rPr>
        <w:t xml:space="preserve"> </w:t>
      </w:r>
    </w:p>
    <w:p w14:paraId="56E34093" w14:textId="77777777" w:rsidR="00DA700D" w:rsidRDefault="00000000">
      <w:pPr>
        <w:ind w:left="21"/>
      </w:pPr>
      <w:r>
        <w:t xml:space="preserve">Relevantly section 52(1)(a) of the RTI Act states: </w:t>
      </w:r>
    </w:p>
    <w:p w14:paraId="67312B21" w14:textId="77777777" w:rsidR="00DA700D" w:rsidRDefault="00000000">
      <w:pPr>
        <w:spacing w:after="0" w:line="259" w:lineRule="auto"/>
        <w:ind w:left="25" w:firstLine="0"/>
        <w:jc w:val="left"/>
      </w:pPr>
      <w:r>
        <w:rPr>
          <w:b/>
          <w:i/>
        </w:rPr>
        <w:t xml:space="preserve">   </w:t>
      </w:r>
    </w:p>
    <w:p w14:paraId="6450881F" w14:textId="77777777" w:rsidR="00DA700D" w:rsidRDefault="00000000">
      <w:pPr>
        <w:pStyle w:val="Heading1"/>
        <w:ind w:left="374"/>
      </w:pPr>
      <w:r>
        <w:rPr>
          <w:i/>
        </w:rPr>
        <w:t xml:space="preserve">52 Document nonexistent or unlocatable </w:t>
      </w:r>
    </w:p>
    <w:p w14:paraId="00830620" w14:textId="77777777" w:rsidR="00DA700D" w:rsidRDefault="00000000">
      <w:pPr>
        <w:spacing w:after="0" w:line="259" w:lineRule="auto"/>
        <w:ind w:left="293" w:firstLine="0"/>
        <w:jc w:val="left"/>
      </w:pPr>
      <w:r>
        <w:rPr>
          <w:b/>
          <w:i/>
        </w:rPr>
        <w:t xml:space="preserve"> </w:t>
      </w:r>
    </w:p>
    <w:p w14:paraId="3D8EAC94" w14:textId="77777777" w:rsidR="00DA700D" w:rsidRDefault="00000000">
      <w:pPr>
        <w:spacing w:line="266" w:lineRule="auto"/>
        <w:ind w:left="698"/>
      </w:pPr>
      <w:r>
        <w:rPr>
          <w:i/>
        </w:rPr>
        <w:t xml:space="preserve">(1) For section 47(3)(e), a document is nonexistent or unlocatable if— </w:t>
      </w:r>
    </w:p>
    <w:p w14:paraId="257F7107" w14:textId="77777777" w:rsidR="00DA700D" w:rsidRDefault="00000000">
      <w:pPr>
        <w:spacing w:line="266" w:lineRule="auto"/>
        <w:ind w:left="1503" w:hanging="400"/>
      </w:pPr>
      <w:r>
        <w:rPr>
          <w:i/>
        </w:rPr>
        <w:t xml:space="preserve">(a) the agency or Minister dealing with the application for access is satisfied the document does not exist; or </w:t>
      </w:r>
    </w:p>
    <w:p w14:paraId="251FCE85" w14:textId="77777777" w:rsidR="00DA700D" w:rsidRDefault="00000000">
      <w:pPr>
        <w:spacing w:after="0" w:line="259" w:lineRule="auto"/>
        <w:ind w:left="692" w:firstLine="0"/>
        <w:jc w:val="left"/>
      </w:pPr>
      <w:r>
        <w:rPr>
          <w:i/>
        </w:rPr>
        <w:t xml:space="preserve"> </w:t>
      </w:r>
    </w:p>
    <w:p w14:paraId="504287E7" w14:textId="77777777" w:rsidR="00DA700D" w:rsidRDefault="00000000">
      <w:pPr>
        <w:spacing w:line="266" w:lineRule="auto"/>
        <w:ind w:left="698"/>
      </w:pPr>
      <w:r>
        <w:rPr>
          <w:i/>
        </w:rPr>
        <w:t xml:space="preserve">Example— </w:t>
      </w:r>
    </w:p>
    <w:p w14:paraId="23647C9D" w14:textId="77777777" w:rsidR="00DA700D" w:rsidRDefault="00000000">
      <w:pPr>
        <w:spacing w:line="266" w:lineRule="auto"/>
        <w:ind w:left="1102"/>
      </w:pPr>
      <w:r>
        <w:rPr>
          <w:i/>
        </w:rPr>
        <w:t xml:space="preserve">a document that has not been created </w:t>
      </w:r>
    </w:p>
    <w:p w14:paraId="610D68C0" w14:textId="77777777" w:rsidR="00DA700D" w:rsidRDefault="00000000">
      <w:pPr>
        <w:spacing w:after="13" w:line="259" w:lineRule="auto"/>
        <w:ind w:left="25" w:firstLine="0"/>
        <w:jc w:val="left"/>
      </w:pPr>
      <w:r>
        <w:rPr>
          <w:b/>
        </w:rPr>
        <w:t xml:space="preserve"> </w:t>
      </w:r>
    </w:p>
    <w:p w14:paraId="5A788629" w14:textId="77777777" w:rsidR="00DA700D" w:rsidRDefault="00000000">
      <w:pPr>
        <w:spacing w:after="13" w:line="259" w:lineRule="auto"/>
        <w:ind w:left="713"/>
        <w:jc w:val="left"/>
      </w:pPr>
      <w:r>
        <w:rPr>
          <w:b/>
        </w:rPr>
        <w:t xml:space="preserve">… </w:t>
      </w:r>
    </w:p>
    <w:p w14:paraId="5CBFA8C3" w14:textId="77777777" w:rsidR="00DA700D" w:rsidRDefault="00000000">
      <w:pPr>
        <w:spacing w:after="14" w:line="259" w:lineRule="auto"/>
        <w:ind w:left="703" w:firstLine="0"/>
        <w:jc w:val="left"/>
      </w:pPr>
      <w:r>
        <w:t xml:space="preserve"> </w:t>
      </w:r>
    </w:p>
    <w:p w14:paraId="3FBA20D3" w14:textId="77777777" w:rsidR="00DA700D" w:rsidRDefault="00000000">
      <w:pPr>
        <w:ind w:left="21"/>
      </w:pPr>
      <w:r>
        <w:t xml:space="preserve">In conducting this internal review I sought from PSC, further information and document searches for documents relevant to point 2 of the scope of your application. </w:t>
      </w:r>
    </w:p>
    <w:p w14:paraId="628A0C47" w14:textId="77777777" w:rsidR="00DA700D" w:rsidRDefault="00000000">
      <w:pPr>
        <w:spacing w:after="13" w:line="259" w:lineRule="auto"/>
        <w:ind w:left="25" w:firstLine="0"/>
        <w:jc w:val="left"/>
      </w:pPr>
      <w:r>
        <w:t xml:space="preserve"> </w:t>
      </w:r>
    </w:p>
    <w:p w14:paraId="6505E086" w14:textId="77777777" w:rsidR="00DA700D" w:rsidRDefault="00000000">
      <w:pPr>
        <w:ind w:left="21"/>
      </w:pPr>
      <w:r>
        <w:t xml:space="preserve">In response, PSC provided the following: </w:t>
      </w:r>
    </w:p>
    <w:p w14:paraId="2D8361A0" w14:textId="77777777" w:rsidR="00DA700D" w:rsidRDefault="00000000">
      <w:pPr>
        <w:numPr>
          <w:ilvl w:val="0"/>
          <w:numId w:val="8"/>
        </w:numPr>
        <w:ind w:left="704" w:hanging="340"/>
      </w:pPr>
      <w:r>
        <w:t xml:space="preserve">confirmation that the signed letter (responsive to the scope part 1) was posted on 22 August 2017 </w:t>
      </w:r>
    </w:p>
    <w:p w14:paraId="24451503" w14:textId="77777777" w:rsidR="00DA700D" w:rsidRDefault="00000000">
      <w:pPr>
        <w:numPr>
          <w:ilvl w:val="0"/>
          <w:numId w:val="8"/>
        </w:numPr>
        <w:ind w:left="704" w:hanging="340"/>
      </w:pPr>
      <w:r>
        <w:t xml:space="preserve">it is standard practice for outgoing mail to be sent via a regular Australia Post service: there is no record of the use of registered post or a courier service.   </w:t>
      </w:r>
    </w:p>
    <w:p w14:paraId="0943DE6C" w14:textId="77777777" w:rsidR="00DA700D" w:rsidRDefault="00000000">
      <w:pPr>
        <w:numPr>
          <w:ilvl w:val="0"/>
          <w:numId w:val="8"/>
        </w:numPr>
        <w:ind w:left="704" w:hanging="340"/>
      </w:pPr>
      <w:r>
        <w:t xml:space="preserve">confirmation that no further documents exist in relation to the request and that PSC has no record of a response from the Select Committee.  </w:t>
      </w:r>
    </w:p>
    <w:p w14:paraId="0BB88FE8" w14:textId="77777777" w:rsidR="00DA700D" w:rsidRDefault="00000000">
      <w:pPr>
        <w:spacing w:after="13" w:line="259" w:lineRule="auto"/>
        <w:ind w:left="25" w:firstLine="0"/>
        <w:jc w:val="left"/>
      </w:pPr>
      <w:r>
        <w:rPr>
          <w:b/>
        </w:rPr>
        <w:t xml:space="preserve"> </w:t>
      </w:r>
    </w:p>
    <w:p w14:paraId="42757360" w14:textId="77777777" w:rsidR="00DA700D" w:rsidRDefault="00000000">
      <w:pPr>
        <w:ind w:left="21"/>
      </w:pPr>
      <w:r>
        <w:t xml:space="preserve">I have considered the information provided and I am satisfied that the search processes were comprehensive and sufficient. I am also satisfied that the searches reflect the PSC’s particular knowledge and experience and recordkeeping practices. </w:t>
      </w:r>
    </w:p>
    <w:p w14:paraId="2ED7F747" w14:textId="77777777" w:rsidR="00DA700D" w:rsidRDefault="00000000">
      <w:pPr>
        <w:spacing w:after="13" w:line="259" w:lineRule="auto"/>
        <w:ind w:left="25" w:firstLine="0"/>
        <w:jc w:val="left"/>
      </w:pPr>
      <w:r>
        <w:t xml:space="preserve"> </w:t>
      </w:r>
    </w:p>
    <w:p w14:paraId="2E362A9F" w14:textId="77777777" w:rsidR="00DA700D" w:rsidRDefault="00000000">
      <w:pPr>
        <w:ind w:left="21"/>
      </w:pPr>
      <w:r>
        <w:t xml:space="preserve">I confirm that there are no records held by PSC that respond to the second part of the scope of your application.  </w:t>
      </w:r>
    </w:p>
    <w:p w14:paraId="6F0DE8B4" w14:textId="77777777" w:rsidR="00DA700D" w:rsidRDefault="00000000">
      <w:pPr>
        <w:spacing w:after="13" w:line="259" w:lineRule="auto"/>
        <w:ind w:left="25" w:firstLine="0"/>
        <w:jc w:val="left"/>
      </w:pPr>
      <w:r>
        <w:rPr>
          <w:i/>
        </w:rPr>
        <w:t xml:space="preserve"> </w:t>
      </w:r>
    </w:p>
    <w:p w14:paraId="03A54485" w14:textId="77777777" w:rsidR="00DA700D" w:rsidRDefault="00000000">
      <w:pPr>
        <w:ind w:left="21"/>
      </w:pPr>
      <w:r>
        <w:t xml:space="preserve">I am satisfied that all reasonable steps have been undertaken to verify the existence of the information being sought. I consider the documents are nonexistent and in accordance with sections 47(3)(e) and 52(1)(a) of the RTI Act, access cannot be provided as they are non-existent.  </w:t>
      </w:r>
    </w:p>
    <w:p w14:paraId="764250FE" w14:textId="77777777" w:rsidR="00DA700D" w:rsidRDefault="00000000">
      <w:pPr>
        <w:spacing w:after="0" w:line="259" w:lineRule="auto"/>
        <w:ind w:left="25" w:firstLine="0"/>
        <w:jc w:val="left"/>
      </w:pPr>
      <w:r>
        <w:rPr>
          <w:b/>
        </w:rPr>
        <w:t xml:space="preserve"> </w:t>
      </w:r>
    </w:p>
    <w:p w14:paraId="692A26B1" w14:textId="77777777" w:rsidR="00DA700D" w:rsidRDefault="00000000">
      <w:pPr>
        <w:pStyle w:val="Heading1"/>
        <w:ind w:left="20"/>
      </w:pPr>
      <w:r>
        <w:rPr>
          <w:i/>
        </w:rPr>
        <w:t xml:space="preserve">Scope part 3: documents nonexistent </w:t>
      </w:r>
    </w:p>
    <w:p w14:paraId="111B4F69" w14:textId="77777777" w:rsidR="00DA700D" w:rsidRDefault="00000000">
      <w:pPr>
        <w:spacing w:after="14" w:line="259" w:lineRule="auto"/>
        <w:ind w:left="25" w:firstLine="0"/>
        <w:jc w:val="left"/>
      </w:pPr>
      <w:r>
        <w:t xml:space="preserve"> </w:t>
      </w:r>
    </w:p>
    <w:p w14:paraId="5FC23354" w14:textId="77777777" w:rsidR="00DA700D" w:rsidRDefault="00000000">
      <w:pPr>
        <w:ind w:left="21"/>
      </w:pPr>
      <w:r>
        <w:t xml:space="preserve">The third part of your scope requested access to: </w:t>
      </w:r>
    </w:p>
    <w:p w14:paraId="38380298" w14:textId="77777777" w:rsidR="00DA700D" w:rsidRDefault="00000000">
      <w:pPr>
        <w:spacing w:after="519" w:line="259" w:lineRule="auto"/>
        <w:ind w:left="25" w:firstLine="0"/>
        <w:jc w:val="left"/>
      </w:pPr>
      <w:r>
        <w:rPr>
          <w:b/>
        </w:rPr>
        <w:t xml:space="preserve"> </w:t>
      </w:r>
    </w:p>
    <w:p w14:paraId="57C85C55" w14:textId="77777777" w:rsidR="00DA700D" w:rsidRDefault="00000000">
      <w:pPr>
        <w:spacing w:after="0" w:line="259" w:lineRule="auto"/>
        <w:ind w:left="25" w:firstLine="0"/>
        <w:jc w:val="left"/>
      </w:pPr>
      <w:r>
        <w:rPr>
          <w:rFonts w:ascii="Calibri" w:eastAsia="Calibri" w:hAnsi="Calibri" w:cs="Calibri"/>
          <w:noProof/>
        </w:rPr>
        <mc:AlternateContent>
          <mc:Choice Requires="wpg">
            <w:drawing>
              <wp:inline distT="0" distB="0" distL="0" distR="0" wp14:anchorId="06A3F90B" wp14:editId="5B95CDA5">
                <wp:extent cx="1720596" cy="6858"/>
                <wp:effectExtent l="0" t="0" r="0" b="0"/>
                <wp:docPr id="6229" name="Group 6229"/>
                <wp:cNvGraphicFramePr/>
                <a:graphic xmlns:a="http://schemas.openxmlformats.org/drawingml/2006/main">
                  <a:graphicData uri="http://schemas.microsoft.com/office/word/2010/wordprocessingGroup">
                    <wpg:wgp>
                      <wpg:cNvGrpSpPr/>
                      <wpg:grpSpPr>
                        <a:xfrm>
                          <a:off x="0" y="0"/>
                          <a:ext cx="1720596" cy="6858"/>
                          <a:chOff x="0" y="0"/>
                          <a:chExt cx="1720596" cy="6858"/>
                        </a:xfrm>
                      </wpg:grpSpPr>
                      <wps:wsp>
                        <wps:cNvPr id="7225" name="Shape 7225"/>
                        <wps:cNvSpPr/>
                        <wps:spPr>
                          <a:xfrm>
                            <a:off x="0" y="0"/>
                            <a:ext cx="1720596" cy="9144"/>
                          </a:xfrm>
                          <a:custGeom>
                            <a:avLst/>
                            <a:gdLst/>
                            <a:ahLst/>
                            <a:cxnLst/>
                            <a:rect l="0" t="0" r="0" b="0"/>
                            <a:pathLst>
                              <a:path w="1720596" h="9144">
                                <a:moveTo>
                                  <a:pt x="0" y="0"/>
                                </a:moveTo>
                                <a:lnTo>
                                  <a:pt x="1720596" y="0"/>
                                </a:lnTo>
                                <a:lnTo>
                                  <a:pt x="1720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9" style="width:135.48pt;height:0.540039pt;mso-position-horizontal-relative:char;mso-position-vertical-relative:line" coordsize="17205,68">
                <v:shape id="Shape 7226" style="position:absolute;width:17205;height:91;left:0;top:0;" coordsize="1720596,9144" path="m0,0l1720596,0l172059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14:paraId="3C8AFDEC" w14:textId="77777777" w:rsidR="00DA700D" w:rsidRDefault="00000000">
      <w:pPr>
        <w:spacing w:line="266" w:lineRule="auto"/>
        <w:ind w:left="2437" w:hanging="338"/>
      </w:pPr>
      <w:r>
        <w:rPr>
          <w:i/>
        </w:rPr>
        <w:t xml:space="preserve">3. Any correspondence between the PSC and the Ethics Committee in relation to Recommendation 67. </w:t>
      </w:r>
    </w:p>
    <w:p w14:paraId="3B3C26CB" w14:textId="77777777" w:rsidR="00DA700D" w:rsidRDefault="00000000">
      <w:pPr>
        <w:spacing w:after="13" w:line="259" w:lineRule="auto"/>
        <w:ind w:left="25" w:firstLine="0"/>
        <w:jc w:val="left"/>
      </w:pPr>
      <w:r>
        <w:rPr>
          <w:b/>
        </w:rPr>
        <w:t xml:space="preserve"> </w:t>
      </w:r>
    </w:p>
    <w:p w14:paraId="0DA90E58" w14:textId="77777777" w:rsidR="00DA700D" w:rsidRDefault="00000000">
      <w:pPr>
        <w:ind w:left="21"/>
      </w:pPr>
      <w:r>
        <w:t xml:space="preserve">Ms Haling advised in her decision dated 5 July 2022: </w:t>
      </w:r>
    </w:p>
    <w:p w14:paraId="2997FC38" w14:textId="77777777" w:rsidR="00DA700D" w:rsidRDefault="00000000">
      <w:pPr>
        <w:spacing w:after="13" w:line="259" w:lineRule="auto"/>
        <w:ind w:left="25" w:firstLine="0"/>
        <w:jc w:val="left"/>
      </w:pPr>
      <w:r>
        <w:t xml:space="preserve"> </w:t>
      </w:r>
    </w:p>
    <w:p w14:paraId="46B3B74D" w14:textId="77777777" w:rsidR="00DA700D" w:rsidRDefault="00000000">
      <w:pPr>
        <w:spacing w:line="266" w:lineRule="auto"/>
        <w:ind w:left="698"/>
      </w:pPr>
      <w:r>
        <w:rPr>
          <w:i/>
        </w:rPr>
        <w:t>PSC advised, in relation to the scope point 3, that PSC did not write to the ethics committee – as that would be a matter for the CWP committee.</w:t>
      </w:r>
      <w:r>
        <w:rPr>
          <w:b/>
          <w:i/>
        </w:rPr>
        <w:t xml:space="preserve"> </w:t>
      </w:r>
    </w:p>
    <w:p w14:paraId="778BDF55" w14:textId="77777777" w:rsidR="00DA700D" w:rsidRDefault="00000000">
      <w:pPr>
        <w:spacing w:after="13" w:line="259" w:lineRule="auto"/>
        <w:ind w:left="25" w:firstLine="0"/>
        <w:jc w:val="left"/>
      </w:pPr>
      <w:r>
        <w:rPr>
          <w:b/>
        </w:rPr>
        <w:t xml:space="preserve"> </w:t>
      </w:r>
    </w:p>
    <w:p w14:paraId="4C03C254" w14:textId="77777777" w:rsidR="00DA700D" w:rsidRDefault="00000000">
      <w:pPr>
        <w:ind w:left="21"/>
      </w:pPr>
      <w:r>
        <w:t xml:space="preserve">In considering the application of the provisions in section 52 of the RTI Act, the Assistant Information Commissioner in </w:t>
      </w:r>
      <w:r>
        <w:rPr>
          <w:i/>
          <w:color w:val="333333"/>
        </w:rPr>
        <w:t>Mewburn and Department of State Development</w:t>
      </w:r>
      <w:r>
        <w:rPr>
          <w:color w:val="333333"/>
          <w:vertAlign w:val="superscript"/>
        </w:rPr>
        <w:footnoteReference w:id="7"/>
      </w:r>
      <w:r>
        <w:rPr>
          <w:color w:val="333333"/>
        </w:rPr>
        <w:t xml:space="preserve"> adopted the Information Commissioner’s comments in </w:t>
      </w:r>
      <w:r>
        <w:rPr>
          <w:i/>
        </w:rPr>
        <w:t>PDE and The University of Queensland</w:t>
      </w:r>
      <w:r>
        <w:t xml:space="preserve"> (PDE).</w:t>
      </w:r>
      <w:r>
        <w:rPr>
          <w:vertAlign w:val="superscript"/>
        </w:rPr>
        <w:footnoteReference w:id="8"/>
      </w:r>
      <w:r>
        <w:t xml:space="preserve">  The Assistant Information Commissioner stated: </w:t>
      </w:r>
    </w:p>
    <w:p w14:paraId="4742F37F" w14:textId="77777777" w:rsidR="00DA700D" w:rsidRDefault="00000000">
      <w:pPr>
        <w:spacing w:after="13" w:line="259" w:lineRule="auto"/>
        <w:ind w:left="25" w:firstLine="0"/>
        <w:jc w:val="left"/>
      </w:pPr>
      <w:r>
        <w:t xml:space="preserve"> </w:t>
      </w:r>
    </w:p>
    <w:p w14:paraId="6E8426F3" w14:textId="77777777" w:rsidR="00DA700D" w:rsidRDefault="00000000">
      <w:pPr>
        <w:spacing w:line="266" w:lineRule="auto"/>
        <w:ind w:left="698"/>
      </w:pPr>
      <w:r>
        <w:rPr>
          <w:i/>
        </w:rPr>
        <w:t xml:space="preserve">… an agency may ascertain that a particular document was not created because, for example, its processes do not involve creating the specific document.  In such instances, it is not necessary for the agency to search for the document.  It is sufficient that the relevant circumstances to account for the nonexistent document are explained. </w:t>
      </w:r>
    </w:p>
    <w:p w14:paraId="5ED733FB" w14:textId="77777777" w:rsidR="00DA700D" w:rsidRDefault="00000000">
      <w:pPr>
        <w:spacing w:after="13" w:line="259" w:lineRule="auto"/>
        <w:ind w:left="703" w:firstLine="0"/>
        <w:jc w:val="left"/>
      </w:pPr>
      <w:r>
        <w:rPr>
          <w:i/>
        </w:rPr>
        <w:t xml:space="preserve"> </w:t>
      </w:r>
    </w:p>
    <w:p w14:paraId="00F22032" w14:textId="77777777" w:rsidR="00DA700D" w:rsidRDefault="00000000">
      <w:pPr>
        <w:ind w:left="21"/>
      </w:pPr>
      <w:r>
        <w:t xml:space="preserve">I have considered the nature of the request, as well as the document search response and advice from PSC. I am satisfied with this response, and there is nothing before me to suggest that relevant documents exist but cannot be located. </w:t>
      </w:r>
    </w:p>
    <w:p w14:paraId="63C9C2E1" w14:textId="77777777" w:rsidR="00DA700D" w:rsidRDefault="00000000">
      <w:pPr>
        <w:spacing w:after="14" w:line="259" w:lineRule="auto"/>
        <w:ind w:left="25" w:firstLine="0"/>
        <w:jc w:val="left"/>
      </w:pPr>
      <w:r>
        <w:t xml:space="preserve"> </w:t>
      </w:r>
    </w:p>
    <w:p w14:paraId="4E460BBA" w14:textId="77777777" w:rsidR="00DA700D" w:rsidRDefault="00000000">
      <w:pPr>
        <w:ind w:left="21"/>
      </w:pPr>
      <w:r>
        <w:t xml:space="preserve">I am satisfied that all reasonable steps have been undertaken to verify the existence of the information being sought in part 3 of the application. I consider the documents are nonexistent and in accordance with sections 47(3)(e) and 52(1)(a) of the RTI Act, access cannot be provided as they are non-existent.  </w:t>
      </w:r>
    </w:p>
    <w:p w14:paraId="703CC9A4" w14:textId="77777777" w:rsidR="00DA700D" w:rsidRDefault="00000000">
      <w:pPr>
        <w:spacing w:after="14" w:line="259" w:lineRule="auto"/>
        <w:ind w:left="25" w:firstLine="0"/>
        <w:jc w:val="left"/>
      </w:pPr>
      <w:r>
        <w:t xml:space="preserve"> </w:t>
      </w:r>
    </w:p>
    <w:p w14:paraId="67108812" w14:textId="77777777" w:rsidR="00DA700D" w:rsidRDefault="00000000">
      <w:pPr>
        <w:pStyle w:val="Heading2"/>
        <w:ind w:left="21"/>
      </w:pPr>
      <w:r>
        <w:t xml:space="preserve">Decision </w:t>
      </w:r>
    </w:p>
    <w:p w14:paraId="0040FF2C" w14:textId="77777777" w:rsidR="00DA700D" w:rsidRDefault="00000000">
      <w:pPr>
        <w:spacing w:after="0" w:line="259" w:lineRule="auto"/>
        <w:ind w:left="25" w:firstLine="0"/>
        <w:jc w:val="left"/>
      </w:pPr>
      <w:r>
        <w:t xml:space="preserve"> </w:t>
      </w:r>
    </w:p>
    <w:p w14:paraId="5889EC49" w14:textId="77777777" w:rsidR="00DA700D" w:rsidRDefault="00000000">
      <w:pPr>
        <w:ind w:left="21"/>
      </w:pPr>
      <w:r>
        <w:t xml:space="preserve">For the reasons stated above, I have decided to uphold Ms Haling’s original decision to refuse access to documents relating to your application. </w:t>
      </w:r>
    </w:p>
    <w:p w14:paraId="3E3A9A4B" w14:textId="77777777" w:rsidR="00DA700D" w:rsidRDefault="00000000">
      <w:pPr>
        <w:spacing w:after="13" w:line="259" w:lineRule="auto"/>
        <w:ind w:left="25" w:firstLine="0"/>
        <w:jc w:val="left"/>
      </w:pPr>
      <w:r>
        <w:t xml:space="preserve"> </w:t>
      </w:r>
    </w:p>
    <w:p w14:paraId="693DF514" w14:textId="77777777" w:rsidR="00DA700D" w:rsidRDefault="00000000">
      <w:pPr>
        <w:ind w:left="21"/>
      </w:pPr>
      <w:r>
        <w:t>I made this decision on 2 August 2022.</w:t>
      </w:r>
      <w:r>
        <w:rPr>
          <w:b/>
        </w:rPr>
        <w:t xml:space="preserve"> </w:t>
      </w:r>
    </w:p>
    <w:p w14:paraId="08EFE533" w14:textId="77777777" w:rsidR="00DA700D" w:rsidRDefault="00000000">
      <w:pPr>
        <w:spacing w:after="14" w:line="259" w:lineRule="auto"/>
        <w:ind w:left="25" w:firstLine="0"/>
        <w:jc w:val="left"/>
      </w:pPr>
      <w:r>
        <w:rPr>
          <w:b/>
        </w:rPr>
        <w:t xml:space="preserve"> </w:t>
      </w:r>
    </w:p>
    <w:p w14:paraId="76387C56" w14:textId="77777777" w:rsidR="00DA700D" w:rsidRDefault="00000000">
      <w:pPr>
        <w:pStyle w:val="Heading2"/>
        <w:ind w:left="21"/>
      </w:pPr>
      <w:r>
        <w:t xml:space="preserve">External review rights </w:t>
      </w:r>
    </w:p>
    <w:p w14:paraId="7006F2E3" w14:textId="77777777" w:rsidR="00DA700D" w:rsidRDefault="00000000">
      <w:pPr>
        <w:spacing w:after="13" w:line="259" w:lineRule="auto"/>
        <w:ind w:left="25" w:firstLine="0"/>
        <w:jc w:val="left"/>
      </w:pPr>
      <w:r>
        <w:t xml:space="preserve"> </w:t>
      </w:r>
    </w:p>
    <w:p w14:paraId="55A0F436" w14:textId="77777777" w:rsidR="00DA700D" w:rsidRDefault="00000000">
      <w:pPr>
        <w:ind w:left="21"/>
      </w:pPr>
      <w:r>
        <w:t xml:space="preserve">If you are dissatisfied with my decision, the RTI Act provides you with a right to seek an external review by the Information Commissioner. </w:t>
      </w:r>
    </w:p>
    <w:p w14:paraId="1AC59E4D" w14:textId="77777777" w:rsidR="00DA700D" w:rsidRDefault="00000000">
      <w:pPr>
        <w:spacing w:after="722" w:line="259" w:lineRule="auto"/>
        <w:ind w:left="25" w:firstLine="0"/>
        <w:jc w:val="left"/>
      </w:pPr>
      <w:r>
        <w:t xml:space="preserve"> </w:t>
      </w:r>
    </w:p>
    <w:p w14:paraId="2A56ABEB" w14:textId="77777777" w:rsidR="00DA700D" w:rsidRDefault="00000000">
      <w:pPr>
        <w:spacing w:after="0" w:line="259" w:lineRule="auto"/>
        <w:ind w:left="25" w:firstLine="0"/>
        <w:jc w:val="left"/>
      </w:pPr>
      <w:r>
        <w:rPr>
          <w:rFonts w:ascii="Calibri" w:eastAsia="Calibri" w:hAnsi="Calibri" w:cs="Calibri"/>
          <w:noProof/>
        </w:rPr>
        <mc:AlternateContent>
          <mc:Choice Requires="wpg">
            <w:drawing>
              <wp:inline distT="0" distB="0" distL="0" distR="0" wp14:anchorId="1CFF2B0E" wp14:editId="04237216">
                <wp:extent cx="1720596" cy="6858"/>
                <wp:effectExtent l="0" t="0" r="0" b="0"/>
                <wp:docPr id="6450" name="Group 6450"/>
                <wp:cNvGraphicFramePr/>
                <a:graphic xmlns:a="http://schemas.openxmlformats.org/drawingml/2006/main">
                  <a:graphicData uri="http://schemas.microsoft.com/office/word/2010/wordprocessingGroup">
                    <wpg:wgp>
                      <wpg:cNvGrpSpPr/>
                      <wpg:grpSpPr>
                        <a:xfrm>
                          <a:off x="0" y="0"/>
                          <a:ext cx="1720596" cy="6858"/>
                          <a:chOff x="0" y="0"/>
                          <a:chExt cx="1720596" cy="6858"/>
                        </a:xfrm>
                      </wpg:grpSpPr>
                      <wps:wsp>
                        <wps:cNvPr id="7227" name="Shape 7227"/>
                        <wps:cNvSpPr/>
                        <wps:spPr>
                          <a:xfrm>
                            <a:off x="0" y="0"/>
                            <a:ext cx="1720596" cy="9144"/>
                          </a:xfrm>
                          <a:custGeom>
                            <a:avLst/>
                            <a:gdLst/>
                            <a:ahLst/>
                            <a:cxnLst/>
                            <a:rect l="0" t="0" r="0" b="0"/>
                            <a:pathLst>
                              <a:path w="1720596" h="9144">
                                <a:moveTo>
                                  <a:pt x="0" y="0"/>
                                </a:moveTo>
                                <a:lnTo>
                                  <a:pt x="1720596" y="0"/>
                                </a:lnTo>
                                <a:lnTo>
                                  <a:pt x="1720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50" style="width:135.48pt;height:0.539978pt;mso-position-horizontal-relative:char;mso-position-vertical-relative:line" coordsize="17205,68">
                <v:shape id="Shape 7228" style="position:absolute;width:17205;height:91;left:0;top:0;" coordsize="1720596,9144" path="m0,0l1720596,0l172059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14:paraId="5A0E15D6" w14:textId="77777777" w:rsidR="00DA700D" w:rsidRDefault="00000000">
      <w:pPr>
        <w:ind w:left="21"/>
      </w:pPr>
      <w:r>
        <w:t xml:space="preserve">There are requirements under the RTI Act for lodging an application for an external review including the procedures to be followed for exercising your review rights and the time within which an application for review must be made. Your application must: </w:t>
      </w:r>
    </w:p>
    <w:p w14:paraId="696886CF" w14:textId="77777777" w:rsidR="00DA700D" w:rsidRDefault="00000000">
      <w:pPr>
        <w:spacing w:after="14" w:line="259" w:lineRule="auto"/>
        <w:ind w:left="25" w:firstLine="0"/>
        <w:jc w:val="left"/>
      </w:pPr>
      <w:r>
        <w:t xml:space="preserve"> </w:t>
      </w:r>
    </w:p>
    <w:p w14:paraId="6A08ABC2" w14:textId="77777777" w:rsidR="00DA700D" w:rsidRDefault="00000000">
      <w:pPr>
        <w:numPr>
          <w:ilvl w:val="0"/>
          <w:numId w:val="9"/>
        </w:numPr>
        <w:ind w:right="778" w:firstLine="0"/>
        <w:jc w:val="left"/>
      </w:pPr>
      <w:r>
        <w:t xml:space="preserve">be in writing </w:t>
      </w:r>
    </w:p>
    <w:p w14:paraId="69B21547" w14:textId="77777777" w:rsidR="00DA700D" w:rsidRDefault="00000000">
      <w:pPr>
        <w:numPr>
          <w:ilvl w:val="0"/>
          <w:numId w:val="9"/>
        </w:numPr>
        <w:spacing w:after="0" w:line="236" w:lineRule="auto"/>
        <w:ind w:right="778" w:firstLine="0"/>
        <w:jc w:val="left"/>
      </w:pPr>
      <w:r>
        <w:t xml:space="preserve">specify an address of the applicant to which notices may be sent </w:t>
      </w:r>
      <w:r>
        <w:rPr>
          <w:rFonts w:ascii="Segoe UI Symbol" w:eastAsia="Segoe UI Symbol" w:hAnsi="Segoe UI Symbol" w:cs="Segoe UI Symbol"/>
        </w:rPr>
        <w:t></w:t>
      </w:r>
      <w:r>
        <w:t xml:space="preserve"> give particulars of the decision for review </w:t>
      </w:r>
      <w:r>
        <w:rPr>
          <w:rFonts w:ascii="Segoe UI Symbol" w:eastAsia="Segoe UI Symbol" w:hAnsi="Segoe UI Symbol" w:cs="Segoe UI Symbol"/>
        </w:rPr>
        <w:t></w:t>
      </w:r>
      <w:r>
        <w:t xml:space="preserve"> be made within the time period. </w:t>
      </w:r>
    </w:p>
    <w:p w14:paraId="6FE742E5" w14:textId="77777777" w:rsidR="00DA700D" w:rsidRDefault="00000000">
      <w:pPr>
        <w:spacing w:after="14" w:line="259" w:lineRule="auto"/>
        <w:ind w:left="25" w:firstLine="0"/>
        <w:jc w:val="left"/>
      </w:pPr>
      <w:r>
        <w:t xml:space="preserve"> </w:t>
      </w:r>
    </w:p>
    <w:p w14:paraId="15FE3FEF" w14:textId="77777777" w:rsidR="00DA700D" w:rsidRDefault="00000000">
      <w:pPr>
        <w:ind w:left="21"/>
      </w:pPr>
      <w:r>
        <w:t xml:space="preserve">An external review application must be made to the Information Commissioner within 20 business days after the day of written notice of this decision. </w:t>
      </w:r>
    </w:p>
    <w:p w14:paraId="55E7674D" w14:textId="77777777" w:rsidR="00DA700D" w:rsidRDefault="00000000">
      <w:pPr>
        <w:spacing w:after="13" w:line="259" w:lineRule="auto"/>
        <w:ind w:left="25" w:firstLine="0"/>
        <w:jc w:val="left"/>
      </w:pPr>
      <w:r>
        <w:t xml:space="preserve"> </w:t>
      </w:r>
    </w:p>
    <w:p w14:paraId="2972C6A5" w14:textId="77777777" w:rsidR="00DA700D" w:rsidRDefault="00000000">
      <w:pPr>
        <w:ind w:left="21"/>
      </w:pPr>
      <w:r>
        <w:t xml:space="preserve">Your application can be lodged with the Information Commissioner in any of the following ways: </w:t>
      </w:r>
    </w:p>
    <w:p w14:paraId="333B8155" w14:textId="77777777" w:rsidR="00DA700D" w:rsidRDefault="00000000">
      <w:pPr>
        <w:spacing w:after="0" w:line="259" w:lineRule="auto"/>
        <w:ind w:left="25" w:firstLine="0"/>
        <w:jc w:val="left"/>
      </w:pPr>
      <w:r>
        <w:t xml:space="preserve">  </w:t>
      </w:r>
    </w:p>
    <w:tbl>
      <w:tblPr>
        <w:tblStyle w:val="TableGrid"/>
        <w:tblW w:w="4317" w:type="dxa"/>
        <w:tblInd w:w="25" w:type="dxa"/>
        <w:tblCellMar>
          <w:top w:w="0" w:type="dxa"/>
          <w:left w:w="0" w:type="dxa"/>
          <w:bottom w:w="0" w:type="dxa"/>
          <w:right w:w="0" w:type="dxa"/>
        </w:tblCellMar>
        <w:tblLook w:val="04A0" w:firstRow="1" w:lastRow="0" w:firstColumn="1" w:lastColumn="0" w:noHBand="0" w:noVBand="1"/>
      </w:tblPr>
      <w:tblGrid>
        <w:gridCol w:w="1355"/>
        <w:gridCol w:w="2962"/>
      </w:tblGrid>
      <w:tr w:rsidR="00DA700D" w14:paraId="17C9234B" w14:textId="77777777">
        <w:trPr>
          <w:trHeight w:val="243"/>
        </w:trPr>
        <w:tc>
          <w:tcPr>
            <w:tcW w:w="1355" w:type="dxa"/>
            <w:tcBorders>
              <w:top w:val="nil"/>
              <w:left w:val="nil"/>
              <w:bottom w:val="nil"/>
              <w:right w:val="nil"/>
            </w:tcBorders>
          </w:tcPr>
          <w:p w14:paraId="0CDD681C" w14:textId="77777777" w:rsidR="00DA700D" w:rsidRDefault="00000000">
            <w:pPr>
              <w:spacing w:after="0" w:line="259" w:lineRule="auto"/>
              <w:ind w:left="0" w:firstLine="0"/>
              <w:jc w:val="left"/>
            </w:pPr>
            <w:r>
              <w:rPr>
                <w:b/>
              </w:rPr>
              <w:t>In person:</w:t>
            </w:r>
            <w:r>
              <w:t xml:space="preserve"> </w:t>
            </w:r>
          </w:p>
        </w:tc>
        <w:tc>
          <w:tcPr>
            <w:tcW w:w="2962" w:type="dxa"/>
            <w:tcBorders>
              <w:top w:val="nil"/>
              <w:left w:val="nil"/>
              <w:bottom w:val="nil"/>
              <w:right w:val="nil"/>
            </w:tcBorders>
          </w:tcPr>
          <w:p w14:paraId="24EF9F90" w14:textId="77777777" w:rsidR="00DA700D" w:rsidRDefault="00000000">
            <w:pPr>
              <w:spacing w:after="0" w:line="259" w:lineRule="auto"/>
              <w:ind w:left="0" w:firstLine="0"/>
              <w:jc w:val="left"/>
            </w:pPr>
            <w:r>
              <w:t xml:space="preserve">Level 7, 133 Mary Street  </w:t>
            </w:r>
          </w:p>
        </w:tc>
      </w:tr>
      <w:tr w:rsidR="00DA700D" w14:paraId="14807D47" w14:textId="77777777">
        <w:trPr>
          <w:trHeight w:val="565"/>
        </w:trPr>
        <w:tc>
          <w:tcPr>
            <w:tcW w:w="1355" w:type="dxa"/>
            <w:tcBorders>
              <w:top w:val="nil"/>
              <w:left w:val="nil"/>
              <w:bottom w:val="nil"/>
              <w:right w:val="nil"/>
            </w:tcBorders>
          </w:tcPr>
          <w:p w14:paraId="1A5BAEC5" w14:textId="77777777" w:rsidR="00DA700D" w:rsidRDefault="00000000">
            <w:pPr>
              <w:spacing w:after="20" w:line="259" w:lineRule="auto"/>
              <w:ind w:left="0" w:firstLine="0"/>
              <w:jc w:val="left"/>
            </w:pPr>
            <w:r>
              <w:t xml:space="preserve"> </w:t>
            </w:r>
            <w:r>
              <w:tab/>
              <w:t xml:space="preserve"> </w:t>
            </w:r>
          </w:p>
          <w:p w14:paraId="4A4C69B9" w14:textId="77777777" w:rsidR="00DA700D" w:rsidRDefault="00000000">
            <w:pPr>
              <w:spacing w:after="0" w:line="259" w:lineRule="auto"/>
              <w:ind w:left="0" w:firstLine="0"/>
              <w:jc w:val="left"/>
            </w:pPr>
            <w:r>
              <w:t xml:space="preserve"> </w:t>
            </w:r>
          </w:p>
        </w:tc>
        <w:tc>
          <w:tcPr>
            <w:tcW w:w="2962" w:type="dxa"/>
            <w:tcBorders>
              <w:top w:val="nil"/>
              <w:left w:val="nil"/>
              <w:bottom w:val="nil"/>
              <w:right w:val="nil"/>
            </w:tcBorders>
          </w:tcPr>
          <w:p w14:paraId="7080B3D9" w14:textId="77777777" w:rsidR="00DA700D" w:rsidRDefault="00000000">
            <w:pPr>
              <w:spacing w:after="0" w:line="259" w:lineRule="auto"/>
              <w:ind w:left="0" w:firstLine="0"/>
              <w:jc w:val="left"/>
            </w:pPr>
            <w:r>
              <w:t xml:space="preserve">BRISBANE QLD 4000 </w:t>
            </w:r>
          </w:p>
        </w:tc>
      </w:tr>
      <w:tr w:rsidR="00DA700D" w14:paraId="54551B9D" w14:textId="77777777">
        <w:trPr>
          <w:trHeight w:val="283"/>
        </w:trPr>
        <w:tc>
          <w:tcPr>
            <w:tcW w:w="1355" w:type="dxa"/>
            <w:tcBorders>
              <w:top w:val="nil"/>
              <w:left w:val="nil"/>
              <w:bottom w:val="nil"/>
              <w:right w:val="nil"/>
            </w:tcBorders>
          </w:tcPr>
          <w:p w14:paraId="2052C092" w14:textId="77777777" w:rsidR="00DA700D" w:rsidRDefault="00000000">
            <w:pPr>
              <w:spacing w:after="0" w:line="259" w:lineRule="auto"/>
              <w:ind w:left="0" w:firstLine="0"/>
              <w:jc w:val="left"/>
            </w:pPr>
            <w:r>
              <w:rPr>
                <w:b/>
              </w:rPr>
              <w:t>Post:</w:t>
            </w:r>
            <w:r>
              <w:t xml:space="preserve">  </w:t>
            </w:r>
          </w:p>
        </w:tc>
        <w:tc>
          <w:tcPr>
            <w:tcW w:w="2962" w:type="dxa"/>
            <w:tcBorders>
              <w:top w:val="nil"/>
              <w:left w:val="nil"/>
              <w:bottom w:val="nil"/>
              <w:right w:val="nil"/>
            </w:tcBorders>
          </w:tcPr>
          <w:p w14:paraId="21B26839" w14:textId="77777777" w:rsidR="00DA700D" w:rsidRDefault="00000000">
            <w:pPr>
              <w:spacing w:after="0" w:line="259" w:lineRule="auto"/>
              <w:ind w:left="0" w:firstLine="0"/>
              <w:jc w:val="left"/>
            </w:pPr>
            <w:r>
              <w:t xml:space="preserve">PO Box 10143 </w:t>
            </w:r>
          </w:p>
        </w:tc>
      </w:tr>
      <w:tr w:rsidR="00DA700D" w14:paraId="64A9AC82" w14:textId="77777777">
        <w:trPr>
          <w:trHeight w:val="282"/>
        </w:trPr>
        <w:tc>
          <w:tcPr>
            <w:tcW w:w="1355" w:type="dxa"/>
            <w:tcBorders>
              <w:top w:val="nil"/>
              <w:left w:val="nil"/>
              <w:bottom w:val="nil"/>
              <w:right w:val="nil"/>
            </w:tcBorders>
          </w:tcPr>
          <w:p w14:paraId="601125C2" w14:textId="77777777" w:rsidR="00DA700D" w:rsidRDefault="00000000">
            <w:pPr>
              <w:spacing w:after="0" w:line="259" w:lineRule="auto"/>
              <w:ind w:left="0" w:firstLine="0"/>
              <w:jc w:val="left"/>
            </w:pPr>
            <w:r>
              <w:t xml:space="preserve"> </w:t>
            </w:r>
            <w:r>
              <w:tab/>
              <w:t xml:space="preserve"> </w:t>
            </w:r>
          </w:p>
        </w:tc>
        <w:tc>
          <w:tcPr>
            <w:tcW w:w="2962" w:type="dxa"/>
            <w:tcBorders>
              <w:top w:val="nil"/>
              <w:left w:val="nil"/>
              <w:bottom w:val="nil"/>
              <w:right w:val="nil"/>
            </w:tcBorders>
          </w:tcPr>
          <w:p w14:paraId="0CE26782" w14:textId="77777777" w:rsidR="00DA700D" w:rsidRDefault="00000000">
            <w:pPr>
              <w:spacing w:after="0" w:line="259" w:lineRule="auto"/>
              <w:ind w:left="0" w:firstLine="0"/>
              <w:jc w:val="left"/>
            </w:pPr>
            <w:r>
              <w:t xml:space="preserve">Adelaide Street </w:t>
            </w:r>
          </w:p>
        </w:tc>
      </w:tr>
      <w:tr w:rsidR="00DA700D" w14:paraId="7BD56044" w14:textId="77777777">
        <w:trPr>
          <w:trHeight w:val="564"/>
        </w:trPr>
        <w:tc>
          <w:tcPr>
            <w:tcW w:w="1355" w:type="dxa"/>
            <w:tcBorders>
              <w:top w:val="nil"/>
              <w:left w:val="nil"/>
              <w:bottom w:val="nil"/>
              <w:right w:val="nil"/>
            </w:tcBorders>
          </w:tcPr>
          <w:p w14:paraId="5C4BDF9A" w14:textId="77777777" w:rsidR="00DA700D" w:rsidRDefault="00000000">
            <w:pPr>
              <w:spacing w:after="20" w:line="259" w:lineRule="auto"/>
              <w:ind w:left="0" w:firstLine="0"/>
              <w:jc w:val="left"/>
            </w:pPr>
            <w:r>
              <w:t xml:space="preserve"> </w:t>
            </w:r>
            <w:r>
              <w:tab/>
              <w:t xml:space="preserve"> </w:t>
            </w:r>
          </w:p>
          <w:p w14:paraId="65CDF1C2" w14:textId="77777777" w:rsidR="00DA700D" w:rsidRDefault="00000000">
            <w:pPr>
              <w:spacing w:after="0" w:line="259" w:lineRule="auto"/>
              <w:ind w:left="0" w:firstLine="0"/>
              <w:jc w:val="left"/>
            </w:pPr>
            <w:r>
              <w:rPr>
                <w:b/>
              </w:rPr>
              <w:t xml:space="preserve"> </w:t>
            </w:r>
          </w:p>
        </w:tc>
        <w:tc>
          <w:tcPr>
            <w:tcW w:w="2962" w:type="dxa"/>
            <w:tcBorders>
              <w:top w:val="nil"/>
              <w:left w:val="nil"/>
              <w:bottom w:val="nil"/>
              <w:right w:val="nil"/>
            </w:tcBorders>
          </w:tcPr>
          <w:p w14:paraId="28C07F03" w14:textId="77777777" w:rsidR="00DA700D" w:rsidRDefault="00000000">
            <w:pPr>
              <w:spacing w:after="0" w:line="259" w:lineRule="auto"/>
              <w:ind w:left="0" w:firstLine="0"/>
              <w:jc w:val="left"/>
            </w:pPr>
            <w:r>
              <w:t xml:space="preserve">BRISBANE QLD 4000 </w:t>
            </w:r>
          </w:p>
        </w:tc>
      </w:tr>
      <w:tr w:rsidR="00DA700D" w14:paraId="635407C5" w14:textId="77777777">
        <w:trPr>
          <w:trHeight w:val="565"/>
        </w:trPr>
        <w:tc>
          <w:tcPr>
            <w:tcW w:w="1355" w:type="dxa"/>
            <w:tcBorders>
              <w:top w:val="nil"/>
              <w:left w:val="nil"/>
              <w:bottom w:val="nil"/>
              <w:right w:val="nil"/>
            </w:tcBorders>
          </w:tcPr>
          <w:p w14:paraId="43DB0A29" w14:textId="77777777" w:rsidR="00DA700D" w:rsidRDefault="00000000">
            <w:pPr>
              <w:spacing w:after="14" w:line="259" w:lineRule="auto"/>
              <w:ind w:left="0" w:firstLine="0"/>
              <w:jc w:val="left"/>
            </w:pPr>
            <w:r>
              <w:rPr>
                <w:b/>
              </w:rPr>
              <w:t xml:space="preserve">Email: </w:t>
            </w:r>
            <w:r>
              <w:t xml:space="preserve"> </w:t>
            </w:r>
          </w:p>
          <w:p w14:paraId="4521B1AB" w14:textId="77777777" w:rsidR="00DA700D" w:rsidRDefault="00000000">
            <w:pPr>
              <w:spacing w:after="0" w:line="259" w:lineRule="auto"/>
              <w:ind w:left="0" w:firstLine="0"/>
              <w:jc w:val="left"/>
            </w:pPr>
            <w:r>
              <w:rPr>
                <w:b/>
              </w:rPr>
              <w:t xml:space="preserve"> </w:t>
            </w:r>
          </w:p>
        </w:tc>
        <w:tc>
          <w:tcPr>
            <w:tcW w:w="2962" w:type="dxa"/>
            <w:tcBorders>
              <w:top w:val="nil"/>
              <w:left w:val="nil"/>
              <w:bottom w:val="nil"/>
              <w:right w:val="nil"/>
            </w:tcBorders>
          </w:tcPr>
          <w:p w14:paraId="38A9C0BE" w14:textId="77777777" w:rsidR="00DA700D" w:rsidRDefault="00000000">
            <w:pPr>
              <w:spacing w:after="0" w:line="259" w:lineRule="auto"/>
              <w:ind w:left="0" w:firstLine="0"/>
            </w:pPr>
            <w:r>
              <w:rPr>
                <w:color w:val="0563C1"/>
                <w:u w:val="single" w:color="0563C1"/>
              </w:rPr>
              <w:t>administration@oic.qld.gov.au</w:t>
            </w:r>
            <w:r>
              <w:t xml:space="preserve"> </w:t>
            </w:r>
          </w:p>
        </w:tc>
      </w:tr>
      <w:tr w:rsidR="00DA700D" w14:paraId="7596E3E7" w14:textId="77777777">
        <w:trPr>
          <w:trHeight w:val="243"/>
        </w:trPr>
        <w:tc>
          <w:tcPr>
            <w:tcW w:w="1355" w:type="dxa"/>
            <w:tcBorders>
              <w:top w:val="nil"/>
              <w:left w:val="nil"/>
              <w:bottom w:val="nil"/>
              <w:right w:val="nil"/>
            </w:tcBorders>
          </w:tcPr>
          <w:p w14:paraId="29BB0D19" w14:textId="77777777" w:rsidR="00DA700D" w:rsidRDefault="00000000">
            <w:pPr>
              <w:spacing w:after="0" w:line="259" w:lineRule="auto"/>
              <w:ind w:left="0" w:firstLine="0"/>
              <w:jc w:val="left"/>
            </w:pPr>
            <w:r>
              <w:rPr>
                <w:b/>
              </w:rPr>
              <w:t>Online:</w:t>
            </w:r>
            <w:r>
              <w:t xml:space="preserve"> </w:t>
            </w:r>
          </w:p>
        </w:tc>
        <w:tc>
          <w:tcPr>
            <w:tcW w:w="2962" w:type="dxa"/>
            <w:tcBorders>
              <w:top w:val="nil"/>
              <w:left w:val="nil"/>
              <w:bottom w:val="nil"/>
              <w:right w:val="nil"/>
            </w:tcBorders>
          </w:tcPr>
          <w:p w14:paraId="07F24D94" w14:textId="77777777" w:rsidR="00DA700D" w:rsidRDefault="00000000">
            <w:pPr>
              <w:spacing w:after="0" w:line="259" w:lineRule="auto"/>
              <w:ind w:left="0" w:firstLine="0"/>
              <w:jc w:val="left"/>
            </w:pPr>
            <w:r>
              <w:rPr>
                <w:color w:val="0563C1"/>
                <w:u w:val="single" w:color="0563C1"/>
              </w:rPr>
              <w:t>www.oic.qld.gov.au</w:t>
            </w:r>
            <w:r>
              <w:t xml:space="preserve"> </w:t>
            </w:r>
          </w:p>
        </w:tc>
      </w:tr>
    </w:tbl>
    <w:p w14:paraId="38B21D83" w14:textId="77777777" w:rsidR="00DA700D" w:rsidRDefault="00000000">
      <w:pPr>
        <w:spacing w:after="13" w:line="259" w:lineRule="auto"/>
        <w:ind w:left="25" w:firstLine="0"/>
        <w:jc w:val="left"/>
      </w:pPr>
      <w:r>
        <w:t xml:space="preserve"> </w:t>
      </w:r>
    </w:p>
    <w:p w14:paraId="24230987" w14:textId="77777777" w:rsidR="00DA700D" w:rsidRDefault="00000000">
      <w:pPr>
        <w:ind w:left="21"/>
      </w:pPr>
      <w:r>
        <w:t xml:space="preserve">If you have any queries in relation to your application, please do not hesitate to contact me on telephone 3003 2978. </w:t>
      </w:r>
    </w:p>
    <w:p w14:paraId="6F3138D6" w14:textId="77777777" w:rsidR="00DA700D" w:rsidRDefault="00000000">
      <w:pPr>
        <w:spacing w:after="13" w:line="259" w:lineRule="auto"/>
        <w:ind w:left="25" w:firstLine="0"/>
        <w:jc w:val="left"/>
      </w:pPr>
      <w:r>
        <w:t xml:space="preserve"> </w:t>
      </w:r>
    </w:p>
    <w:p w14:paraId="4E5E5DCE" w14:textId="77777777" w:rsidR="00DA700D" w:rsidRDefault="00000000">
      <w:pPr>
        <w:ind w:left="21"/>
      </w:pPr>
      <w:r>
        <w:t xml:space="preserve">Yours sincerely </w:t>
      </w:r>
    </w:p>
    <w:p w14:paraId="15418F9D" w14:textId="77777777" w:rsidR="00DA700D" w:rsidRDefault="00000000">
      <w:pPr>
        <w:spacing w:after="13" w:line="259" w:lineRule="auto"/>
        <w:ind w:left="25" w:firstLine="0"/>
        <w:jc w:val="left"/>
      </w:pPr>
      <w:r>
        <w:t xml:space="preserve"> </w:t>
      </w:r>
    </w:p>
    <w:p w14:paraId="0F2F4378" w14:textId="77777777" w:rsidR="00DA700D" w:rsidRDefault="00000000">
      <w:pPr>
        <w:spacing w:line="266" w:lineRule="auto"/>
        <w:ind w:left="35" w:right="860"/>
      </w:pPr>
      <w:r>
        <w:rPr>
          <w:i/>
        </w:rPr>
        <w:t xml:space="preserve">Issued electronically by Sharon Dryden, Director, Governance and Integrity  on 2 August 2022 </w:t>
      </w:r>
    </w:p>
    <w:p w14:paraId="233C065F" w14:textId="77777777" w:rsidR="00DA700D" w:rsidRDefault="00000000">
      <w:pPr>
        <w:spacing w:after="13" w:line="259" w:lineRule="auto"/>
        <w:ind w:left="25" w:firstLine="0"/>
        <w:jc w:val="left"/>
      </w:pPr>
      <w:r>
        <w:t xml:space="preserve"> </w:t>
      </w:r>
    </w:p>
    <w:p w14:paraId="50CD31B1" w14:textId="77777777" w:rsidR="00DA700D" w:rsidRDefault="00000000">
      <w:pPr>
        <w:ind w:left="21"/>
      </w:pPr>
      <w:r>
        <w:t xml:space="preserve">Sharon Dryden </w:t>
      </w:r>
    </w:p>
    <w:p w14:paraId="6AF84291" w14:textId="77777777" w:rsidR="00DA700D" w:rsidRDefault="00000000">
      <w:pPr>
        <w:pStyle w:val="Heading2"/>
        <w:ind w:left="21"/>
      </w:pPr>
      <w:r>
        <w:t xml:space="preserve">Director, Governance and Constitutional Services  Governance and Integrity </w:t>
      </w:r>
    </w:p>
    <w:p w14:paraId="511EAAC3" w14:textId="77777777" w:rsidR="00DA700D" w:rsidRDefault="00000000">
      <w:pPr>
        <w:spacing w:after="0" w:line="259" w:lineRule="auto"/>
        <w:ind w:left="25" w:firstLine="0"/>
        <w:jc w:val="left"/>
      </w:pPr>
      <w:r>
        <w:t xml:space="preserve"> </w:t>
      </w:r>
    </w:p>
    <w:sectPr w:rsidR="00DA700D">
      <w:pgSz w:w="12240" w:h="15840"/>
      <w:pgMar w:top="1646" w:right="1583" w:bottom="0" w:left="22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3B9F" w14:textId="77777777" w:rsidR="003342B3" w:rsidRDefault="003342B3">
      <w:pPr>
        <w:spacing w:after="0" w:line="240" w:lineRule="auto"/>
      </w:pPr>
      <w:r>
        <w:separator/>
      </w:r>
    </w:p>
  </w:endnote>
  <w:endnote w:type="continuationSeparator" w:id="0">
    <w:p w14:paraId="61D87923" w14:textId="77777777" w:rsidR="003342B3" w:rsidRDefault="0033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A2D2" w14:textId="77777777" w:rsidR="003342B3" w:rsidRDefault="003342B3">
      <w:pPr>
        <w:spacing w:after="0" w:line="259" w:lineRule="auto"/>
        <w:ind w:left="25" w:firstLine="0"/>
        <w:jc w:val="left"/>
      </w:pPr>
      <w:r>
        <w:separator/>
      </w:r>
    </w:p>
  </w:footnote>
  <w:footnote w:type="continuationSeparator" w:id="0">
    <w:p w14:paraId="63C9BE74" w14:textId="77777777" w:rsidR="003342B3" w:rsidRDefault="003342B3">
      <w:pPr>
        <w:spacing w:after="0" w:line="259" w:lineRule="auto"/>
        <w:ind w:left="25" w:firstLine="0"/>
        <w:jc w:val="left"/>
      </w:pPr>
      <w:r>
        <w:continuationSeparator/>
      </w:r>
    </w:p>
  </w:footnote>
  <w:footnote w:id="1">
    <w:p w14:paraId="4E3D182D" w14:textId="77777777" w:rsidR="00DA700D" w:rsidRDefault="00000000">
      <w:pPr>
        <w:pStyle w:val="footnotedescription"/>
      </w:pPr>
      <w:r>
        <w:rPr>
          <w:rStyle w:val="footnotemark"/>
        </w:rPr>
        <w:footnoteRef/>
      </w:r>
      <w:r>
        <w:t xml:space="preserve"> Section 44 of the RTI Act. </w:t>
      </w:r>
    </w:p>
  </w:footnote>
  <w:footnote w:id="2">
    <w:p w14:paraId="18D5458D" w14:textId="77777777" w:rsidR="00DA700D" w:rsidRDefault="00000000">
      <w:pPr>
        <w:pStyle w:val="footnotedescription"/>
      </w:pPr>
      <w:r>
        <w:rPr>
          <w:rStyle w:val="footnotemark"/>
        </w:rPr>
        <w:footnoteRef/>
      </w:r>
      <w:r>
        <w:t xml:space="preserve"> Sections 47(3)(a) and 48 of the RTI Act. Exempt information is  </w:t>
      </w:r>
    </w:p>
  </w:footnote>
  <w:footnote w:id="3">
    <w:p w14:paraId="48D9E579" w14:textId="77777777" w:rsidR="00DA700D" w:rsidRDefault="00000000">
      <w:pPr>
        <w:pStyle w:val="footnotedescription"/>
        <w:spacing w:after="130" w:line="264" w:lineRule="auto"/>
        <w:ind w:right="5587"/>
      </w:pPr>
      <w:r>
        <w:rPr>
          <w:rStyle w:val="footnotemark"/>
        </w:rPr>
        <w:footnoteRef/>
      </w:r>
      <w:r>
        <w:t xml:space="preserve"> Section 8 and section 9 of the PoQ Act. </w:t>
      </w:r>
      <w:r>
        <w:rPr>
          <w:vertAlign w:val="superscript"/>
        </w:rPr>
        <w:t>4</w:t>
      </w:r>
      <w:r>
        <w:t xml:space="preserve"> Section 9(2)(d) of the PoQ Act. </w:t>
      </w:r>
    </w:p>
  </w:footnote>
  <w:footnote w:id="4">
    <w:p w14:paraId="6A453616" w14:textId="77777777" w:rsidR="00DA700D" w:rsidRDefault="00000000">
      <w:pPr>
        <w:pStyle w:val="footnotedescription"/>
      </w:pPr>
      <w:r>
        <w:rPr>
          <w:rStyle w:val="footnotemark"/>
        </w:rPr>
        <w:footnoteRef/>
      </w:r>
      <w:r>
        <w:t xml:space="preserve"> Section 52(1)(b) of the RTI Act.</w:t>
      </w:r>
      <w:r>
        <w:rPr>
          <w:sz w:val="19"/>
        </w:rPr>
        <w:t xml:space="preserve"> </w:t>
      </w:r>
    </w:p>
  </w:footnote>
  <w:footnote w:id="5">
    <w:p w14:paraId="7C38CFBE" w14:textId="77777777" w:rsidR="00DA700D" w:rsidRDefault="00000000">
      <w:pPr>
        <w:pStyle w:val="footnotedescription"/>
        <w:spacing w:after="4"/>
      </w:pPr>
      <w:r>
        <w:rPr>
          <w:rStyle w:val="footnotemark"/>
        </w:rPr>
        <w:footnoteRef/>
      </w:r>
      <w:r>
        <w:t xml:space="preserve"> Section 47(3)(e) of the RTI Act. </w:t>
      </w:r>
    </w:p>
  </w:footnote>
  <w:footnote w:id="6">
    <w:p w14:paraId="2A869F7D" w14:textId="77777777" w:rsidR="00DA700D" w:rsidRDefault="00000000">
      <w:pPr>
        <w:pStyle w:val="footnotedescription"/>
      </w:pPr>
      <w:r>
        <w:rPr>
          <w:rStyle w:val="footnotemark"/>
        </w:rPr>
        <w:footnoteRef/>
      </w:r>
      <w:r>
        <w:t xml:space="preserve"> Section 52(1)(a) of the RTI Act. </w:t>
      </w:r>
    </w:p>
  </w:footnote>
  <w:footnote w:id="7">
    <w:p w14:paraId="09A154CE" w14:textId="77777777" w:rsidR="00DA700D" w:rsidRDefault="00000000">
      <w:pPr>
        <w:pStyle w:val="footnotedescription"/>
      </w:pPr>
      <w:r>
        <w:rPr>
          <w:rStyle w:val="footnotemark"/>
        </w:rPr>
        <w:footnoteRef/>
      </w:r>
      <w:r>
        <w:t xml:space="preserve"> [2015] QICmr 9 (21 April 2015) (</w:t>
      </w:r>
      <w:r>
        <w:rPr>
          <w:i/>
        </w:rPr>
        <w:t>Mewburn</w:t>
      </w:r>
      <w:r>
        <w:t xml:space="preserve">) at paragraphs 18 to 20.  </w:t>
      </w:r>
    </w:p>
  </w:footnote>
  <w:footnote w:id="8">
    <w:p w14:paraId="0D3F26E0" w14:textId="77777777" w:rsidR="00DA700D" w:rsidRDefault="00000000">
      <w:pPr>
        <w:pStyle w:val="footnotedescription"/>
        <w:spacing w:line="260" w:lineRule="auto"/>
      </w:pPr>
      <w:r>
        <w:rPr>
          <w:rStyle w:val="footnotemark"/>
        </w:rPr>
        <w:footnoteRef/>
      </w:r>
      <w:r>
        <w:t xml:space="preserve"> [2009] QICmr7 (9 February 2009) at paragraphs 34 and 35. Although these comments relate to a decision made under the repealed </w:t>
      </w:r>
      <w:r>
        <w:rPr>
          <w:i/>
        </w:rPr>
        <w:t>Freedom of Information Act 1992</w:t>
      </w:r>
      <w:r>
        <w:t xml:space="preserve"> (Qld), the relevant statutory framework is equivalent to that in the RTI Act and accordingly, the principles are equally applicable.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8DD"/>
    <w:multiLevelType w:val="hybridMultilevel"/>
    <w:tmpl w:val="52445AD8"/>
    <w:lvl w:ilvl="0" w:tplc="918295A8">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22E482">
      <w:start w:val="1"/>
      <w:numFmt w:val="bullet"/>
      <w:lvlText w:val="o"/>
      <w:lvlJc w:val="left"/>
      <w:pPr>
        <w:ind w:left="1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E53E0">
      <w:start w:val="1"/>
      <w:numFmt w:val="bullet"/>
      <w:lvlText w:val="▪"/>
      <w:lvlJc w:val="left"/>
      <w:pPr>
        <w:ind w:left="2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30C2AA">
      <w:start w:val="1"/>
      <w:numFmt w:val="bullet"/>
      <w:lvlText w:val="•"/>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A78D0">
      <w:start w:val="1"/>
      <w:numFmt w:val="bullet"/>
      <w:lvlText w:val="o"/>
      <w:lvlJc w:val="left"/>
      <w:pPr>
        <w:ind w:left="3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844170">
      <w:start w:val="1"/>
      <w:numFmt w:val="bullet"/>
      <w:lvlText w:val="▪"/>
      <w:lvlJc w:val="left"/>
      <w:pPr>
        <w:ind w:left="4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24BBD8">
      <w:start w:val="1"/>
      <w:numFmt w:val="bullet"/>
      <w:lvlText w:val="•"/>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27CC4">
      <w:start w:val="1"/>
      <w:numFmt w:val="bullet"/>
      <w:lvlText w:val="o"/>
      <w:lvlJc w:val="left"/>
      <w:pPr>
        <w:ind w:left="5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27102">
      <w:start w:val="1"/>
      <w:numFmt w:val="bullet"/>
      <w:lvlText w:val="▪"/>
      <w:lvlJc w:val="left"/>
      <w:pPr>
        <w:ind w:left="6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586410"/>
    <w:multiLevelType w:val="hybridMultilevel"/>
    <w:tmpl w:val="EB4C3FD4"/>
    <w:lvl w:ilvl="0" w:tplc="F9AE0B9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26A2E">
      <w:start w:val="1"/>
      <w:numFmt w:val="bullet"/>
      <w:lvlText w:val="o"/>
      <w:lvlJc w:val="left"/>
      <w:pPr>
        <w:ind w:left="1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46342E">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61482">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EACB94">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249CE">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662A4">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47FC6">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DCD11C">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D86008"/>
    <w:multiLevelType w:val="hybridMultilevel"/>
    <w:tmpl w:val="D026B9AA"/>
    <w:lvl w:ilvl="0" w:tplc="59DE01DA">
      <w:start w:val="1"/>
      <w:numFmt w:val="lowerLetter"/>
      <w:lvlText w:val="%1)"/>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216B2">
      <w:start w:val="1"/>
      <w:numFmt w:val="low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BCA158">
      <w:start w:val="1"/>
      <w:numFmt w:val="lowerRoman"/>
      <w:lvlText w:val="%3"/>
      <w:lvlJc w:val="left"/>
      <w:pPr>
        <w:ind w:left="2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80CE76">
      <w:start w:val="1"/>
      <w:numFmt w:val="decimal"/>
      <w:lvlText w:val="%4"/>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0E2A6">
      <w:start w:val="1"/>
      <w:numFmt w:val="lowerLetter"/>
      <w:lvlText w:val="%5"/>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0ACF84">
      <w:start w:val="1"/>
      <w:numFmt w:val="lowerRoman"/>
      <w:lvlText w:val="%6"/>
      <w:lvlJc w:val="left"/>
      <w:pPr>
        <w:ind w:left="4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6E3E98">
      <w:start w:val="1"/>
      <w:numFmt w:val="decimal"/>
      <w:lvlText w:val="%7"/>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44954A">
      <w:start w:val="1"/>
      <w:numFmt w:val="lowerLetter"/>
      <w:lvlText w:val="%8"/>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C6758">
      <w:start w:val="1"/>
      <w:numFmt w:val="lowerRoman"/>
      <w:lvlText w:val="%9"/>
      <w:lvlJc w:val="left"/>
      <w:pPr>
        <w:ind w:left="6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44693"/>
    <w:multiLevelType w:val="hybridMultilevel"/>
    <w:tmpl w:val="50089CEA"/>
    <w:lvl w:ilvl="0" w:tplc="5AC6DF50">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42139E">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8C1D4">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8C45CE">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CCF952">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12CC52">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625AAC">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A147C">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ACBC3A">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55EF6"/>
    <w:multiLevelType w:val="hybridMultilevel"/>
    <w:tmpl w:val="BE6CDFCE"/>
    <w:lvl w:ilvl="0" w:tplc="70CE2C8A">
      <w:start w:val="1"/>
      <w:numFmt w:val="decimal"/>
      <w:lvlText w:val="%1)"/>
      <w:lvlJc w:val="left"/>
      <w:pPr>
        <w:ind w:left="102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3885D0A">
      <w:start w:val="1"/>
      <w:numFmt w:val="lowerLetter"/>
      <w:lvlText w:val="%2"/>
      <w:lvlJc w:val="left"/>
      <w:pPr>
        <w:ind w:left="17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9BACAB8">
      <w:start w:val="1"/>
      <w:numFmt w:val="lowerRoman"/>
      <w:lvlText w:val="%3"/>
      <w:lvlJc w:val="left"/>
      <w:pPr>
        <w:ind w:left="247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6F8E876">
      <w:start w:val="1"/>
      <w:numFmt w:val="decimal"/>
      <w:lvlText w:val="%4"/>
      <w:lvlJc w:val="left"/>
      <w:pPr>
        <w:ind w:left="31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3541626">
      <w:start w:val="1"/>
      <w:numFmt w:val="lowerLetter"/>
      <w:lvlText w:val="%5"/>
      <w:lvlJc w:val="left"/>
      <w:pPr>
        <w:ind w:left="391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5189560">
      <w:start w:val="1"/>
      <w:numFmt w:val="lowerRoman"/>
      <w:lvlText w:val="%6"/>
      <w:lvlJc w:val="left"/>
      <w:pPr>
        <w:ind w:left="463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3DC8464">
      <w:start w:val="1"/>
      <w:numFmt w:val="decimal"/>
      <w:lvlText w:val="%7"/>
      <w:lvlJc w:val="left"/>
      <w:pPr>
        <w:ind w:left="535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C0C1A36">
      <w:start w:val="1"/>
      <w:numFmt w:val="lowerLetter"/>
      <w:lvlText w:val="%8"/>
      <w:lvlJc w:val="left"/>
      <w:pPr>
        <w:ind w:left="607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98E08DC">
      <w:start w:val="1"/>
      <w:numFmt w:val="lowerRoman"/>
      <w:lvlText w:val="%9"/>
      <w:lvlJc w:val="left"/>
      <w:pPr>
        <w:ind w:left="679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79122D"/>
    <w:multiLevelType w:val="hybridMultilevel"/>
    <w:tmpl w:val="192E6D3A"/>
    <w:lvl w:ilvl="0" w:tplc="B89A9882">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2733A">
      <w:start w:val="1"/>
      <w:numFmt w:val="bullet"/>
      <w:lvlText w:val="o"/>
      <w:lvlJc w:val="left"/>
      <w:pPr>
        <w:ind w:left="1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0F8E">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8D7D8">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6F4">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63038">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08098">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E82274">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4EF400">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EA3AC0"/>
    <w:multiLevelType w:val="hybridMultilevel"/>
    <w:tmpl w:val="17FED0B0"/>
    <w:lvl w:ilvl="0" w:tplc="AC92DCB2">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C4E88">
      <w:start w:val="1"/>
      <w:numFmt w:val="bullet"/>
      <w:lvlText w:val="o"/>
      <w:lvlJc w:val="left"/>
      <w:pPr>
        <w:ind w:left="1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43EB4">
      <w:start w:val="1"/>
      <w:numFmt w:val="bullet"/>
      <w:lvlText w:val="▪"/>
      <w:lvlJc w:val="left"/>
      <w:pPr>
        <w:ind w:left="2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89614">
      <w:start w:val="1"/>
      <w:numFmt w:val="bullet"/>
      <w:lvlText w:val="•"/>
      <w:lvlJc w:val="left"/>
      <w:pPr>
        <w:ind w:left="2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1CA6EA">
      <w:start w:val="1"/>
      <w:numFmt w:val="bullet"/>
      <w:lvlText w:val="o"/>
      <w:lvlJc w:val="left"/>
      <w:pPr>
        <w:ind w:left="3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8C234">
      <w:start w:val="1"/>
      <w:numFmt w:val="bullet"/>
      <w:lvlText w:val="▪"/>
      <w:lvlJc w:val="left"/>
      <w:pPr>
        <w:ind w:left="4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C7308">
      <w:start w:val="1"/>
      <w:numFmt w:val="bullet"/>
      <w:lvlText w:val="•"/>
      <w:lvlJc w:val="left"/>
      <w:pPr>
        <w:ind w:left="5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AC1B8">
      <w:start w:val="1"/>
      <w:numFmt w:val="bullet"/>
      <w:lvlText w:val="o"/>
      <w:lvlJc w:val="left"/>
      <w:pPr>
        <w:ind w:left="5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E42BE">
      <w:start w:val="1"/>
      <w:numFmt w:val="bullet"/>
      <w:lvlText w:val="▪"/>
      <w:lvlJc w:val="left"/>
      <w:pPr>
        <w:ind w:left="6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681008"/>
    <w:multiLevelType w:val="hybridMultilevel"/>
    <w:tmpl w:val="55AAEA5C"/>
    <w:lvl w:ilvl="0" w:tplc="7236DA46">
      <w:start w:val="1"/>
      <w:numFmt w:val="decimal"/>
      <w:lvlText w:val="%1."/>
      <w:lvlJc w:val="left"/>
      <w:pPr>
        <w:ind w:left="61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EB0FA2E">
      <w:start w:val="1"/>
      <w:numFmt w:val="lowerLetter"/>
      <w:lvlText w:val="%2"/>
      <w:lvlJc w:val="left"/>
      <w:pPr>
        <w:ind w:left="13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198CB54">
      <w:start w:val="1"/>
      <w:numFmt w:val="lowerRoman"/>
      <w:lvlText w:val="%3"/>
      <w:lvlJc w:val="left"/>
      <w:pPr>
        <w:ind w:left="20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2AA3BDC">
      <w:start w:val="1"/>
      <w:numFmt w:val="decimal"/>
      <w:lvlText w:val="%4"/>
      <w:lvlJc w:val="left"/>
      <w:pPr>
        <w:ind w:left="27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D9ED31E">
      <w:start w:val="1"/>
      <w:numFmt w:val="lowerLetter"/>
      <w:lvlText w:val="%5"/>
      <w:lvlJc w:val="left"/>
      <w:pPr>
        <w:ind w:left="34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F58EDEE">
      <w:start w:val="1"/>
      <w:numFmt w:val="lowerRoman"/>
      <w:lvlText w:val="%6"/>
      <w:lvlJc w:val="left"/>
      <w:pPr>
        <w:ind w:left="42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EA44ADC">
      <w:start w:val="1"/>
      <w:numFmt w:val="decimal"/>
      <w:lvlText w:val="%7"/>
      <w:lvlJc w:val="left"/>
      <w:pPr>
        <w:ind w:left="49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74032FA">
      <w:start w:val="1"/>
      <w:numFmt w:val="lowerLetter"/>
      <w:lvlText w:val="%8"/>
      <w:lvlJc w:val="left"/>
      <w:pPr>
        <w:ind w:left="56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324A00A">
      <w:start w:val="1"/>
      <w:numFmt w:val="lowerRoman"/>
      <w:lvlText w:val="%9"/>
      <w:lvlJc w:val="left"/>
      <w:pPr>
        <w:ind w:left="63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CD5C8A"/>
    <w:multiLevelType w:val="hybridMultilevel"/>
    <w:tmpl w:val="E9B68F52"/>
    <w:lvl w:ilvl="0" w:tplc="A5B464FA">
      <w:start w:val="1"/>
      <w:numFmt w:val="bullet"/>
      <w:lvlText w:val="•"/>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0876C">
      <w:start w:val="1"/>
      <w:numFmt w:val="bullet"/>
      <w:lvlText w:val="o"/>
      <w:lvlJc w:val="left"/>
      <w:pPr>
        <w:ind w:left="1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29A60">
      <w:start w:val="1"/>
      <w:numFmt w:val="bullet"/>
      <w:lvlText w:val="▪"/>
      <w:lvlJc w:val="left"/>
      <w:pPr>
        <w:ind w:left="2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A20B8C">
      <w:start w:val="1"/>
      <w:numFmt w:val="bullet"/>
      <w:lvlText w:val="•"/>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3C6A1A">
      <w:start w:val="1"/>
      <w:numFmt w:val="bullet"/>
      <w:lvlText w:val="o"/>
      <w:lvlJc w:val="left"/>
      <w:pPr>
        <w:ind w:left="3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863C94">
      <w:start w:val="1"/>
      <w:numFmt w:val="bullet"/>
      <w:lvlText w:val="▪"/>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E8A872">
      <w:start w:val="1"/>
      <w:numFmt w:val="bullet"/>
      <w:lvlText w:val="•"/>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6E052">
      <w:start w:val="1"/>
      <w:numFmt w:val="bullet"/>
      <w:lvlText w:val="o"/>
      <w:lvlJc w:val="left"/>
      <w:pPr>
        <w:ind w:left="5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CA2F4">
      <w:start w:val="1"/>
      <w:numFmt w:val="bullet"/>
      <w:lvlText w:val="▪"/>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42425802">
    <w:abstractNumId w:val="7"/>
  </w:num>
  <w:num w:numId="2" w16cid:durableId="2055110469">
    <w:abstractNumId w:val="6"/>
  </w:num>
  <w:num w:numId="3" w16cid:durableId="1963538515">
    <w:abstractNumId w:val="4"/>
  </w:num>
  <w:num w:numId="4" w16cid:durableId="445735948">
    <w:abstractNumId w:val="3"/>
  </w:num>
  <w:num w:numId="5" w16cid:durableId="1503741578">
    <w:abstractNumId w:val="2"/>
  </w:num>
  <w:num w:numId="6" w16cid:durableId="2068334326">
    <w:abstractNumId w:val="0"/>
  </w:num>
  <w:num w:numId="7" w16cid:durableId="1055855720">
    <w:abstractNumId w:val="8"/>
  </w:num>
  <w:num w:numId="8" w16cid:durableId="370034590">
    <w:abstractNumId w:val="5"/>
  </w:num>
  <w:num w:numId="9" w16cid:durableId="116034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0D"/>
    <w:rsid w:val="003342B3"/>
    <w:rsid w:val="00C015E6"/>
    <w:rsid w:val="00DA7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F827"/>
  <w15:docId w15:val="{2D1DC998-53F1-4FB7-ABD8-265CEB8C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3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3"/>
      <w:ind w:left="36"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
      <w:ind w:left="3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5"/>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RTIPSC40IR Internal Review Decision Letter</dc:title>
  <dc:subject/>
  <dc:creator>partoshs</dc:creator>
  <cp:keywords/>
  <cp:lastModifiedBy>Stuart Vaccaneo</cp:lastModifiedBy>
  <cp:revision>2</cp:revision>
  <dcterms:created xsi:type="dcterms:W3CDTF">2022-08-03T21:29:00Z</dcterms:created>
  <dcterms:modified xsi:type="dcterms:W3CDTF">2022-08-03T21:29:00Z</dcterms:modified>
</cp:coreProperties>
</file>