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BC9D" w14:textId="77777777" w:rsidR="00547841" w:rsidRDefault="00946220">
      <w:pPr>
        <w:spacing w:after="0" w:line="259" w:lineRule="auto"/>
        <w:ind w:left="3406" w:hanging="10"/>
        <w:jc w:val="center"/>
      </w:pPr>
      <w:r>
        <w:rPr>
          <w:sz w:val="20"/>
        </w:rPr>
        <w:t>Mackay District Office</w:t>
      </w:r>
    </w:p>
    <w:p w14:paraId="32C993A0" w14:textId="77777777" w:rsidR="00547841" w:rsidRDefault="00946220">
      <w:pPr>
        <w:spacing w:after="4" w:line="259" w:lineRule="auto"/>
        <w:ind w:left="928" w:right="1007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881E030" wp14:editId="198269EE">
            <wp:simplePos x="0" y="0"/>
            <wp:positionH relativeFrom="column">
              <wp:posOffset>589432</wp:posOffset>
            </wp:positionH>
            <wp:positionV relativeFrom="paragraph">
              <wp:posOffset>93176</wp:posOffset>
            </wp:positionV>
            <wp:extent cx="4569" cy="4568"/>
            <wp:effectExtent l="0" t="0" r="0" b="0"/>
            <wp:wrapSquare wrapText="bothSides"/>
            <wp:docPr id="2178" name="Picture 2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" name="Picture 21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P.O. Box 1801, MACKAY QLD 4740</w:t>
      </w:r>
    </w:p>
    <w:p w14:paraId="7A312AA0" w14:textId="77777777" w:rsidR="00547841" w:rsidRDefault="00946220">
      <w:pPr>
        <w:tabs>
          <w:tab w:val="center" w:pos="2608"/>
          <w:tab w:val="center" w:pos="7181"/>
        </w:tabs>
        <w:spacing w:after="0" w:line="259" w:lineRule="auto"/>
        <w:ind w:left="0" w:firstLine="0"/>
        <w:jc w:val="left"/>
      </w:pPr>
      <w:r>
        <w:rPr>
          <w:sz w:val="18"/>
        </w:rPr>
        <w:tab/>
      </w:r>
      <w:r>
        <w:rPr>
          <w:noProof/>
        </w:rPr>
        <w:drawing>
          <wp:inline distT="0" distB="0" distL="0" distR="0" wp14:anchorId="3B2696CB" wp14:editId="5273C096">
            <wp:extent cx="4569" cy="4568"/>
            <wp:effectExtent l="0" t="0" r="0" b="0"/>
            <wp:docPr id="2179" name="Picture 2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" name="Picture 21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Queensland Government</w:t>
      </w:r>
      <w:r>
        <w:rPr>
          <w:sz w:val="18"/>
        </w:rPr>
        <w:tab/>
        <w:t>Phone: (07) 4999 8512, Fax: (07) 4999 8519</w:t>
      </w:r>
    </w:p>
    <w:tbl>
      <w:tblPr>
        <w:tblStyle w:val="TableGrid"/>
        <w:tblW w:w="9383" w:type="dxa"/>
        <w:tblInd w:w="130" w:type="dxa"/>
        <w:tblCellMar>
          <w:top w:w="45" w:type="dxa"/>
          <w:left w:w="0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2411"/>
        <w:gridCol w:w="1015"/>
        <w:gridCol w:w="1921"/>
        <w:gridCol w:w="1856"/>
        <w:gridCol w:w="1007"/>
        <w:gridCol w:w="1173"/>
      </w:tblGrid>
      <w:tr w:rsidR="00547841" w14:paraId="3052FB6F" w14:textId="77777777">
        <w:trPr>
          <w:trHeight w:val="281"/>
        </w:trPr>
        <w:tc>
          <w:tcPr>
            <w:tcW w:w="2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3D4398" w14:textId="77777777" w:rsidR="00547841" w:rsidRDefault="00946220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Mine Name</w:t>
            </w: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5707A6" w14:textId="77777777" w:rsidR="00547841" w:rsidRDefault="0094622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Mine ID</w:t>
            </w:r>
          </w:p>
        </w:tc>
        <w:tc>
          <w:tcPr>
            <w:tcW w:w="19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CD0E3A" w14:textId="77777777" w:rsidR="00547841" w:rsidRDefault="00946220">
            <w:pPr>
              <w:spacing w:after="0" w:line="259" w:lineRule="auto"/>
              <w:ind w:left="353" w:firstLine="0"/>
              <w:jc w:val="left"/>
            </w:pPr>
            <w:r>
              <w:rPr>
                <w:sz w:val="24"/>
              </w:rPr>
              <w:t>Operator</w:t>
            </w:r>
          </w:p>
        </w:tc>
        <w:tc>
          <w:tcPr>
            <w:tcW w:w="1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A76CEA" w14:textId="77777777" w:rsidR="00547841" w:rsidRDefault="00946220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>Activity Type</w:t>
            </w: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09F611" w14:textId="77777777" w:rsidR="00547841" w:rsidRDefault="00946220">
            <w:pPr>
              <w:spacing w:after="0" w:line="259" w:lineRule="auto"/>
              <w:ind w:left="0" w:firstLine="0"/>
              <w:jc w:val="left"/>
            </w:pPr>
            <w:r>
              <w:t>Region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31D8B2" w14:textId="77777777" w:rsidR="00547841" w:rsidRDefault="009462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Activity Date</w:t>
            </w:r>
          </w:p>
        </w:tc>
      </w:tr>
      <w:tr w:rsidR="00547841" w14:paraId="51462B24" w14:textId="77777777">
        <w:trPr>
          <w:trHeight w:val="412"/>
        </w:trPr>
        <w:tc>
          <w:tcPr>
            <w:tcW w:w="2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8491D6" w14:textId="77777777" w:rsidR="00547841" w:rsidRDefault="00946220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North Goonyella</w:t>
            </w: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DBA7A4" w14:textId="77777777" w:rsidR="00547841" w:rsidRDefault="00946220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>MIDI 157</w:t>
            </w:r>
          </w:p>
        </w:tc>
        <w:tc>
          <w:tcPr>
            <w:tcW w:w="19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BB23CE" w14:textId="77777777" w:rsidR="00547841" w:rsidRDefault="00946220">
            <w:pPr>
              <w:spacing w:after="0" w:line="259" w:lineRule="auto"/>
              <w:ind w:left="446" w:right="7" w:hanging="446"/>
              <w:jc w:val="left"/>
            </w:pPr>
            <w:r>
              <w:rPr>
                <w:sz w:val="20"/>
              </w:rPr>
              <w:t>PEABODY (BOWEN) PTY LTD</w:t>
            </w:r>
          </w:p>
        </w:tc>
        <w:tc>
          <w:tcPr>
            <w:tcW w:w="1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597EE3" w14:textId="77777777" w:rsidR="00547841" w:rsidRDefault="0094622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Postal Mine Record</w:t>
            </w: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659744" w14:textId="77777777" w:rsidR="00547841" w:rsidRDefault="00946220">
            <w:pPr>
              <w:spacing w:after="0" w:line="259" w:lineRule="auto"/>
              <w:ind w:left="72" w:firstLine="0"/>
              <w:jc w:val="left"/>
            </w:pPr>
            <w:r>
              <w:rPr>
                <w:sz w:val="18"/>
              </w:rPr>
              <w:t>Central</w:t>
            </w:r>
          </w:p>
        </w:tc>
        <w:tc>
          <w:tcPr>
            <w:tcW w:w="1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68EC83" w14:textId="77777777" w:rsidR="00547841" w:rsidRDefault="00946220">
            <w:pPr>
              <w:spacing w:after="0" w:line="259" w:lineRule="auto"/>
              <w:ind w:left="137" w:firstLine="0"/>
              <w:jc w:val="left"/>
            </w:pPr>
            <w:r>
              <w:rPr>
                <w:sz w:val="18"/>
              </w:rPr>
              <w:t>22/09/2016</w:t>
            </w:r>
          </w:p>
        </w:tc>
      </w:tr>
    </w:tbl>
    <w:p w14:paraId="0BF1DDD9" w14:textId="77777777" w:rsidR="00547841" w:rsidRDefault="00946220">
      <w:pPr>
        <w:spacing w:after="0" w:line="259" w:lineRule="auto"/>
        <w:ind w:left="276" w:hanging="10"/>
        <w:jc w:val="center"/>
      </w:pPr>
      <w:r>
        <w:rPr>
          <w:sz w:val="20"/>
        </w:rPr>
        <w:t>Vision: Our Industries Free of Safety and Health Incidents</w:t>
      </w:r>
    </w:p>
    <w:p w14:paraId="58D8722C" w14:textId="77777777" w:rsidR="00547841" w:rsidRDefault="00946220">
      <w:pPr>
        <w:spacing w:after="0" w:line="259" w:lineRule="auto"/>
        <w:ind w:left="389" w:firstLine="0"/>
        <w:jc w:val="left"/>
      </w:pPr>
      <w:r>
        <w:rPr>
          <w:noProof/>
        </w:rPr>
        <w:drawing>
          <wp:inline distT="0" distB="0" distL="0" distR="0" wp14:anchorId="3DB02856" wp14:editId="2A085006">
            <wp:extent cx="424939" cy="13704"/>
            <wp:effectExtent l="0" t="0" r="0" b="0"/>
            <wp:docPr id="2225" name="Picture 2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" name="Picture 22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939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0DF80" w14:textId="77777777" w:rsidR="00547841" w:rsidRDefault="00946220">
      <w:pPr>
        <w:pStyle w:val="Heading1"/>
      </w:pPr>
      <w:r>
        <w:t>Mine Record Entry</w:t>
      </w:r>
    </w:p>
    <w:p w14:paraId="70AAD8FC" w14:textId="77777777" w:rsidR="00547841" w:rsidRDefault="00946220">
      <w:pPr>
        <w:spacing w:after="47"/>
        <w:ind w:left="10" w:right="-216" w:hanging="10"/>
        <w:jc w:val="center"/>
      </w:pPr>
      <w:r>
        <w:t>This report forms part of the Mine Record under s68 of the Coal Mining Safety and</w:t>
      </w:r>
    </w:p>
    <w:p w14:paraId="6553312F" w14:textId="77777777" w:rsidR="00547841" w:rsidRDefault="00946220">
      <w:pPr>
        <w:spacing w:after="112"/>
        <w:ind w:left="10" w:hanging="10"/>
        <w:jc w:val="center"/>
      </w:pPr>
      <w:r>
        <w:t>Health Act 1999. It must be placed in the Mine Record and displayed on Safety Notice Boards.</w:t>
      </w:r>
    </w:p>
    <w:p w14:paraId="4392CFBC" w14:textId="77777777" w:rsidR="00547841" w:rsidRDefault="00946220">
      <w:pPr>
        <w:spacing w:after="289"/>
        <w:ind w:left="187" w:firstLine="101"/>
        <w:jc w:val="left"/>
      </w:pPr>
      <w:r>
        <w:rPr>
          <w:sz w:val="28"/>
        </w:rPr>
        <w:t>Note that inspection or audit activities conducted by the Mines Inspectorate are based upon sample techniques. It remains the primary responsibility of Mine Person</w:t>
      </w:r>
      <w:r>
        <w:rPr>
          <w:sz w:val="28"/>
        </w:rPr>
        <w:t>nel to identify hazards, and risks associated with Operations and ensure those risks are at an acceptable level.</w:t>
      </w:r>
    </w:p>
    <w:p w14:paraId="72383C35" w14:textId="77777777" w:rsidR="00547841" w:rsidRDefault="00946220">
      <w:pPr>
        <w:spacing w:after="47"/>
        <w:ind w:left="165" w:right="165"/>
      </w:pPr>
      <w:r>
        <w:t>On 12 September 2016, I received copies of the Standard Operating Procedure</w:t>
      </w:r>
    </w:p>
    <w:p w14:paraId="726AA015" w14:textId="77777777" w:rsidR="00547841" w:rsidRDefault="00946220">
      <w:pPr>
        <w:spacing w:after="47" w:line="265" w:lineRule="auto"/>
        <w:ind w:left="179" w:right="50"/>
      </w:pPr>
      <w:r>
        <w:rPr>
          <w:sz w:val="28"/>
        </w:rPr>
        <w:t>Second Workings NC-MIN-SOP-LW318, and the underpinning Workplace Ri</w:t>
      </w:r>
      <w:r>
        <w:rPr>
          <w:sz w:val="28"/>
        </w:rPr>
        <w:t>sk Assessment NG-MlN-RSK-LW014 LW9N Secondary Workings, from North Goonyella Mine representative Mr Marek Romanski (UMM).</w:t>
      </w:r>
    </w:p>
    <w:p w14:paraId="7F8C35F1" w14:textId="77777777" w:rsidR="00547841" w:rsidRDefault="00946220">
      <w:pPr>
        <w:spacing w:after="445"/>
        <w:ind w:left="165" w:right="165"/>
      </w:pPr>
      <w:r>
        <w:t>I have read and considered the documents and make the following observations on which I require a response.</w:t>
      </w:r>
    </w:p>
    <w:p w14:paraId="40FE698B" w14:textId="77777777" w:rsidR="00547841" w:rsidRDefault="00946220">
      <w:pPr>
        <w:spacing w:after="0" w:line="259" w:lineRule="auto"/>
        <w:ind w:left="168" w:hanging="10"/>
        <w:jc w:val="left"/>
      </w:pPr>
      <w:r>
        <w:rPr>
          <w:sz w:val="30"/>
        </w:rPr>
        <w:t>1.0 LW9N Secondary Working</w:t>
      </w:r>
      <w:r>
        <w:rPr>
          <w:sz w:val="30"/>
        </w:rPr>
        <w:t>s Risk Assessment</w:t>
      </w:r>
    </w:p>
    <w:p w14:paraId="7B23D13C" w14:textId="77777777" w:rsidR="00547841" w:rsidRDefault="00946220">
      <w:pPr>
        <w:spacing w:after="129"/>
        <w:ind w:left="165" w:right="165"/>
      </w:pPr>
      <w:r>
        <w:t>Document provided to Inspectorate, NG-MlN-RSK-LW014:</w:t>
      </w:r>
    </w:p>
    <w:p w14:paraId="281EDF89" w14:textId="77777777" w:rsidR="00547841" w:rsidRDefault="00946220">
      <w:pPr>
        <w:numPr>
          <w:ilvl w:val="1"/>
          <w:numId w:val="1"/>
        </w:numPr>
        <w:spacing w:after="86" w:line="265" w:lineRule="auto"/>
        <w:ind w:right="58" w:hanging="252"/>
      </w:pPr>
      <w:r>
        <w:rPr>
          <w:sz w:val="28"/>
        </w:rPr>
        <w:t>Two signatures missing from Risk Assessment cross section, page 2.</w:t>
      </w:r>
    </w:p>
    <w:p w14:paraId="4372649C" w14:textId="77777777" w:rsidR="00547841" w:rsidRDefault="00946220">
      <w:pPr>
        <w:numPr>
          <w:ilvl w:val="1"/>
          <w:numId w:val="1"/>
        </w:numPr>
        <w:spacing w:after="67"/>
        <w:ind w:right="58" w:hanging="252"/>
      </w:pPr>
      <w:r>
        <w:t>As a general comment for the whole of the Risk Assessment (RA), any references made to a site Standard, Procedure, MOP</w:t>
      </w:r>
      <w:r>
        <w:t>, TARP, PHMP or SOP must have the full document name recorded within the RA details.</w:t>
      </w:r>
    </w:p>
    <w:p w14:paraId="168A8659" w14:textId="77777777" w:rsidR="00547841" w:rsidRDefault="00946220">
      <w:pPr>
        <w:numPr>
          <w:ilvl w:val="1"/>
          <w:numId w:val="1"/>
        </w:numPr>
        <w:spacing w:after="388"/>
        <w:ind w:right="58" w:hanging="252"/>
      </w:pPr>
      <w:r>
        <w:t xml:space="preserve">Reference made throughout the Risk Assessment to 'Atmospheric Monitoring' must be specific for each situation, </w:t>
      </w:r>
      <w:proofErr w:type="gramStart"/>
      <w:r>
        <w:t>i.e.</w:t>
      </w:r>
      <w:proofErr w:type="gramEnd"/>
      <w:r>
        <w:t xml:space="preserve"> hand held instrument, tube bundle, real</w:t>
      </w:r>
    </w:p>
    <w:p w14:paraId="5B50B75B" w14:textId="77777777" w:rsidR="00547841" w:rsidRDefault="00946220">
      <w:pPr>
        <w:numPr>
          <w:ilvl w:val="1"/>
          <w:numId w:val="1"/>
        </w:numPr>
        <w:spacing w:after="182"/>
        <w:ind w:right="58" w:hanging="252"/>
      </w:pPr>
      <w:r>
        <w:t xml:space="preserve">Step 14. Does not </w:t>
      </w:r>
      <w:proofErr w:type="gramStart"/>
      <w:r>
        <w:t>make reference</w:t>
      </w:r>
      <w:proofErr w:type="gramEnd"/>
      <w:r>
        <w:t xml:space="preserve"> to a standard or a specific procedure for dealing with Borehole's.</w:t>
      </w:r>
    </w:p>
    <w:p w14:paraId="429712A6" w14:textId="77777777" w:rsidR="00547841" w:rsidRDefault="00946220">
      <w:pPr>
        <w:numPr>
          <w:ilvl w:val="1"/>
          <w:numId w:val="1"/>
        </w:numPr>
        <w:spacing w:after="131"/>
        <w:ind w:right="58" w:hanging="252"/>
      </w:pPr>
      <w:r>
        <w:lastRenderedPageBreak/>
        <w:t xml:space="preserve">Step 14. </w:t>
      </w:r>
      <w:proofErr w:type="gramStart"/>
      <w:r>
        <w:t>Borehole's</w:t>
      </w:r>
      <w:proofErr w:type="gramEnd"/>
      <w:r>
        <w:t xml:space="preserve"> are only one source of risk of lightning, risk of Lightning has not been fully addressed, please reference the Blakefield South Mine report 5 January 201 1 for most recent information.</w:t>
      </w:r>
    </w:p>
    <w:p w14:paraId="38B3360F" w14:textId="77777777" w:rsidR="00547841" w:rsidRDefault="00946220">
      <w:pPr>
        <w:ind w:left="511" w:right="165" w:hanging="259"/>
      </w:pPr>
      <w:r>
        <w:t>e Step 15. No reference made to volume of known goaf drainage capability and historical data of Longwall 8 Nth.</w:t>
      </w:r>
    </w:p>
    <w:p w14:paraId="4E2DA96D" w14:textId="77777777" w:rsidR="00547841" w:rsidRDefault="00946220">
      <w:pPr>
        <w:numPr>
          <w:ilvl w:val="1"/>
          <w:numId w:val="2"/>
        </w:numPr>
        <w:ind w:right="165" w:hanging="252"/>
      </w:pPr>
      <w:r>
        <w:t>Step 15. Reference made to "Investigate provision of goaf sewer chamber</w:t>
      </w:r>
      <w:proofErr w:type="gramStart"/>
      <w:r>
        <w:t>" ,</w:t>
      </w:r>
      <w:proofErr w:type="gramEnd"/>
      <w:r>
        <w:t xml:space="preserve"> if this has not been captured in previous Risk Assessments and is a s</w:t>
      </w:r>
      <w:r>
        <w:t>ignificant change from normal operations, the concept of a 'Sewer Chamber' must be a stand alone Step to be risk assessed within this document.</w:t>
      </w:r>
    </w:p>
    <w:p w14:paraId="48C99B7B" w14:textId="77777777" w:rsidR="00547841" w:rsidRDefault="00946220">
      <w:pPr>
        <w:numPr>
          <w:ilvl w:val="1"/>
          <w:numId w:val="2"/>
        </w:numPr>
        <w:ind w:right="165" w:hanging="252"/>
      </w:pPr>
      <w:r>
        <w:t>Step 16. When referencing 'Commissioning checks', detail by reference name of checklist or, template name, proce</w:t>
      </w:r>
      <w:r>
        <w:t>dure, work order type. Any existing controls must not be generalised, if they are not an existing document and have to be generated by a planner then it becomes a proposed control.</w:t>
      </w:r>
    </w:p>
    <w:p w14:paraId="795E9233" w14:textId="77777777" w:rsidR="00547841" w:rsidRDefault="00946220">
      <w:pPr>
        <w:numPr>
          <w:ilvl w:val="1"/>
          <w:numId w:val="2"/>
        </w:numPr>
        <w:spacing w:after="105" w:line="265" w:lineRule="auto"/>
        <w:ind w:right="165" w:hanging="252"/>
      </w:pPr>
      <w:r>
        <w:rPr>
          <w:sz w:val="28"/>
        </w:rPr>
        <w:t xml:space="preserve">Step 18. Changes in caving of TG end coal does not appear to be considered </w:t>
      </w:r>
      <w:r>
        <w:rPr>
          <w:sz w:val="28"/>
        </w:rPr>
        <w:t>in spontaneous combustion risk. If it is a change from Longwall 8 North (even a small change) then it must be considered within the risk assessment.</w:t>
      </w:r>
    </w:p>
    <w:p w14:paraId="3C1BAA89" w14:textId="77777777" w:rsidR="00547841" w:rsidRDefault="00946220">
      <w:pPr>
        <w:numPr>
          <w:ilvl w:val="1"/>
          <w:numId w:val="2"/>
        </w:numPr>
        <w:ind w:right="165" w:hanging="252"/>
      </w:pPr>
      <w:r>
        <w:t>Step 42. No detail on precautions to be taken to minimise the risk of access to potential explosive and lor</w:t>
      </w:r>
      <w:r>
        <w:t xml:space="preserve"> irrespirable atmospheres.</w:t>
      </w:r>
    </w:p>
    <w:p w14:paraId="0C6A14ED" w14:textId="77777777" w:rsidR="00547841" w:rsidRDefault="00946220">
      <w:pPr>
        <w:numPr>
          <w:ilvl w:val="1"/>
          <w:numId w:val="2"/>
        </w:numPr>
        <w:spacing w:after="167"/>
        <w:ind w:right="165" w:hanging="252"/>
      </w:pPr>
      <w:r>
        <w:t>Step 45. There is no reference made to the previous history of Spontaneous Combustion at North Goonyella Mine.</w:t>
      </w:r>
    </w:p>
    <w:p w14:paraId="5CB182B1" w14:textId="77777777" w:rsidR="00547841" w:rsidRDefault="00946220">
      <w:pPr>
        <w:numPr>
          <w:ilvl w:val="1"/>
          <w:numId w:val="2"/>
        </w:numPr>
        <w:spacing w:after="119"/>
        <w:ind w:right="165" w:hanging="252"/>
      </w:pPr>
      <w:r>
        <w:t>Step 46. The current controls are generalised without specific reference, it is not transparent if these controls have</w:t>
      </w:r>
      <w:r>
        <w:t xml:space="preserve"> been reviewed for Longwall 9 Nth </w:t>
      </w:r>
      <w:proofErr w:type="gramStart"/>
      <w:r>
        <w:t>or, if</w:t>
      </w:r>
      <w:proofErr w:type="gramEnd"/>
      <w:r>
        <w:t xml:space="preserve"> they are specific to the series of longwall. More detail required.</w:t>
      </w:r>
    </w:p>
    <w:p w14:paraId="20EF9BCA" w14:textId="77777777" w:rsidR="00547841" w:rsidRDefault="00946220">
      <w:pPr>
        <w:numPr>
          <w:ilvl w:val="1"/>
          <w:numId w:val="2"/>
        </w:numPr>
        <w:spacing w:after="167"/>
        <w:ind w:right="165" w:hanging="252"/>
      </w:pPr>
      <w:r>
        <w:t>Step 48. Proposed control should reflect application rate per ton extracted and not per hour, reason being the cut rate can vary by shearer speed an</w:t>
      </w:r>
      <w:r>
        <w:t>d face slumping. Inspector Neil Randolph can provide advice for the mine on this matter.</w:t>
      </w:r>
    </w:p>
    <w:p w14:paraId="233865E8" w14:textId="77777777" w:rsidR="00547841" w:rsidRDefault="00946220">
      <w:pPr>
        <w:numPr>
          <w:ilvl w:val="1"/>
          <w:numId w:val="2"/>
        </w:numPr>
        <w:spacing w:after="984" w:line="328" w:lineRule="auto"/>
        <w:ind w:right="165" w:hanging="252"/>
      </w:pPr>
      <w:r>
        <w:t>Step 50. Seat Belts are not a control for "</w:t>
      </w:r>
      <w:proofErr w:type="gramStart"/>
      <w:r>
        <w:t>Poor road</w:t>
      </w:r>
      <w:proofErr w:type="gramEnd"/>
      <w:r>
        <w:t xml:space="preserve"> conditions preventing ingress I </w:t>
      </w:r>
      <w:r>
        <w:t>egress".</w:t>
      </w:r>
    </w:p>
    <w:p w14:paraId="45AA40BC" w14:textId="77777777" w:rsidR="00547841" w:rsidRDefault="00946220">
      <w:pPr>
        <w:spacing w:after="0" w:line="259" w:lineRule="auto"/>
        <w:ind w:left="24" w:hanging="10"/>
        <w:jc w:val="left"/>
      </w:pPr>
      <w:r>
        <w:rPr>
          <w:sz w:val="30"/>
        </w:rPr>
        <w:t>2.0 Longwall 9N, SOP Second Workings</w:t>
      </w:r>
    </w:p>
    <w:p w14:paraId="2F8242C4" w14:textId="77777777" w:rsidR="00547841" w:rsidRDefault="00946220">
      <w:pPr>
        <w:spacing w:after="160"/>
        <w:ind w:left="43" w:right="165"/>
      </w:pPr>
      <w:r>
        <w:t>Document provided to Inspectorate NG-MlN-SOP-LW</w:t>
      </w:r>
      <w:proofErr w:type="gramStart"/>
      <w:r>
        <w:t>318 :</w:t>
      </w:r>
      <w:proofErr w:type="gramEnd"/>
    </w:p>
    <w:p w14:paraId="33482435" w14:textId="77777777" w:rsidR="00547841" w:rsidRDefault="00946220">
      <w:pPr>
        <w:spacing w:after="147"/>
        <w:ind w:left="389" w:right="165" w:hanging="360"/>
      </w:pPr>
      <w:proofErr w:type="gramStart"/>
      <w:r>
        <w:t>1 .</w:t>
      </w:r>
      <w:proofErr w:type="gramEnd"/>
      <w:r>
        <w:t xml:space="preserve"> </w:t>
      </w:r>
      <w:r>
        <w:t>Recommendation - The document could be complimented with detail about the estimation of extraction achieved with Top Coal Caving.</w:t>
      </w:r>
    </w:p>
    <w:p w14:paraId="71A1D846" w14:textId="77777777" w:rsidR="00547841" w:rsidRDefault="00946220">
      <w:pPr>
        <w:numPr>
          <w:ilvl w:val="0"/>
          <w:numId w:val="3"/>
        </w:numPr>
        <w:ind w:left="395" w:right="107" w:hanging="381"/>
      </w:pPr>
      <w:r>
        <w:t xml:space="preserve">Recommend adding the detail </w:t>
      </w:r>
      <w:proofErr w:type="gramStart"/>
      <w:r>
        <w:t>why</w:t>
      </w:r>
      <w:proofErr w:type="gramEnd"/>
      <w:r>
        <w:t xml:space="preserve"> the change to position of TG drive wa</w:t>
      </w:r>
      <w:r>
        <w:t>s made.</w:t>
      </w:r>
    </w:p>
    <w:p w14:paraId="68F2D928" w14:textId="77777777" w:rsidR="00547841" w:rsidRDefault="00946220">
      <w:pPr>
        <w:numPr>
          <w:ilvl w:val="0"/>
          <w:numId w:val="3"/>
        </w:numPr>
        <w:spacing w:after="219" w:line="265" w:lineRule="auto"/>
        <w:ind w:left="395" w:right="107" w:hanging="381"/>
      </w:pPr>
      <w:r>
        <w:rPr>
          <w:sz w:val="28"/>
        </w:rPr>
        <w:lastRenderedPageBreak/>
        <w:t>In section 3.3 there needs to be linkage to the Dust Management Plan for double chocking.</w:t>
      </w:r>
    </w:p>
    <w:p w14:paraId="4781CABE" w14:textId="77777777" w:rsidR="00547841" w:rsidRDefault="00946220">
      <w:pPr>
        <w:ind w:left="389" w:right="684" w:hanging="389"/>
      </w:pPr>
      <w:r>
        <w:t xml:space="preserve">4 </w:t>
      </w:r>
      <w:r>
        <w:t>Section 3.5, "Ventilation pressures are set-up to as low as practicable with the aim of maintaining low differential pressures across both active and previo</w:t>
      </w:r>
      <w:r>
        <w:t>us goaves Is this TARP driven for triggers? if not, why not?</w:t>
      </w:r>
    </w:p>
    <w:p w14:paraId="594BB47D" w14:textId="77777777" w:rsidR="00547841" w:rsidRDefault="00946220">
      <w:pPr>
        <w:numPr>
          <w:ilvl w:val="0"/>
          <w:numId w:val="4"/>
        </w:numPr>
        <w:spacing w:after="154"/>
        <w:ind w:right="165" w:hanging="374"/>
      </w:pPr>
      <w:r>
        <w:t>Section 3.5, detail based on known history from Longwall 8N extraction on volumes of gas extraction would be of benefit to this section.</w:t>
      </w:r>
    </w:p>
    <w:p w14:paraId="4857F49A" w14:textId="77777777" w:rsidR="00547841" w:rsidRDefault="00946220">
      <w:pPr>
        <w:numPr>
          <w:ilvl w:val="0"/>
          <w:numId w:val="4"/>
        </w:numPr>
        <w:spacing w:after="140"/>
        <w:ind w:right="165" w:hanging="374"/>
      </w:pPr>
      <w:r>
        <w:t xml:space="preserve">Section 3.5, ventilation modelling detail for Sewer Bleed </w:t>
      </w:r>
      <w:r>
        <w:t>detail required.</w:t>
      </w:r>
    </w:p>
    <w:p w14:paraId="714FA5F0" w14:textId="77777777" w:rsidR="00547841" w:rsidRDefault="00946220">
      <w:pPr>
        <w:numPr>
          <w:ilvl w:val="0"/>
          <w:numId w:val="4"/>
        </w:numPr>
        <w:ind w:right="165" w:hanging="374"/>
      </w:pPr>
      <w:r>
        <w:t>Section 3.6, the first dot point, same comment applicable as point 4 in this MRE.</w:t>
      </w:r>
    </w:p>
    <w:p w14:paraId="179DDAE8" w14:textId="77777777" w:rsidR="00547841" w:rsidRDefault="00946220">
      <w:pPr>
        <w:numPr>
          <w:ilvl w:val="0"/>
          <w:numId w:val="4"/>
        </w:numPr>
        <w:spacing w:after="106"/>
        <w:ind w:right="165" w:hanging="374"/>
      </w:pPr>
      <w:r>
        <w:t>Section 3.6: the second dot point, detail must reflect statement made in page 61 of the Risk assessment for 300m of retreat as a trigger to review the TARP.</w:t>
      </w:r>
    </w:p>
    <w:p w14:paraId="1DE3AD5B" w14:textId="77777777" w:rsidR="00547841" w:rsidRDefault="00946220">
      <w:pPr>
        <w:numPr>
          <w:ilvl w:val="0"/>
          <w:numId w:val="4"/>
        </w:numPr>
        <w:spacing w:after="43"/>
        <w:ind w:right="165" w:hanging="374"/>
      </w:pPr>
      <w:r>
        <w:t>Section 3.6, the third dot point, too generalised, specific locations to be referenced or demonstrated by a plan.</w:t>
      </w:r>
    </w:p>
    <w:p w14:paraId="427E42F1" w14:textId="77777777" w:rsidR="00547841" w:rsidRDefault="00946220">
      <w:pPr>
        <w:numPr>
          <w:ilvl w:val="0"/>
          <w:numId w:val="4"/>
        </w:numPr>
        <w:spacing w:after="106"/>
        <w:ind w:right="165" w:hanging="374"/>
      </w:pPr>
      <w:r>
        <w:t>Section 3.8 is only considering one source of lightning risk, again reference the Blakefield report. There is a need to demonstrate why the ri</w:t>
      </w:r>
      <w:r>
        <w:t>sk does not exist at North Goonyella Mine.</w:t>
      </w:r>
    </w:p>
    <w:p w14:paraId="00DAEAF3" w14:textId="77777777" w:rsidR="00547841" w:rsidRDefault="00946220">
      <w:pPr>
        <w:spacing w:after="47" w:line="265" w:lineRule="auto"/>
        <w:ind w:left="179" w:right="50"/>
      </w:pPr>
      <w:r>
        <w:rPr>
          <w:sz w:val="28"/>
        </w:rPr>
        <w:t>1 1. Section 3.8.2, last paragraph belongs in section 3.8.1.</w:t>
      </w:r>
    </w:p>
    <w:p w14:paraId="6974261F" w14:textId="77777777" w:rsidR="00547841" w:rsidRDefault="00946220">
      <w:pPr>
        <w:ind w:left="525" w:right="165" w:hanging="360"/>
      </w:pPr>
      <w:r>
        <w:t>12. Section 4, recommend adding responsibilities specifically for ERZ Controllers and Shift Supervisors, 'Implement and Monitor of the SOP and related d</w:t>
      </w:r>
      <w:r>
        <w:t>ocuments.'</w:t>
      </w:r>
    </w:p>
    <w:p w14:paraId="27E755CC" w14:textId="77777777" w:rsidR="00547841" w:rsidRDefault="00946220">
      <w:pPr>
        <w:spacing w:after="119"/>
        <w:ind w:left="165" w:right="165"/>
      </w:pPr>
      <w:r>
        <w:t>Further to the comments made above, I am of the belief the SOP can be further complimented with the following Plans as appendices:</w:t>
      </w:r>
    </w:p>
    <w:p w14:paraId="70D32C94" w14:textId="77777777" w:rsidR="00547841" w:rsidRDefault="00946220">
      <w:pPr>
        <w:spacing w:after="130"/>
        <w:ind w:left="309" w:right="165"/>
      </w:pPr>
      <w:r>
        <w:rPr>
          <w:noProof/>
        </w:rPr>
        <w:drawing>
          <wp:inline distT="0" distB="0" distL="0" distR="0" wp14:anchorId="1BF2B56C" wp14:editId="4926AF66">
            <wp:extent cx="68539" cy="73090"/>
            <wp:effectExtent l="0" t="0" r="0" b="0"/>
            <wp:docPr id="6692" name="Picture 6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2" name="Picture 66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39" cy="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Surface contour Plan</w:t>
      </w:r>
    </w:p>
    <w:p w14:paraId="70620FD1" w14:textId="77777777" w:rsidR="00547841" w:rsidRDefault="00946220">
      <w:pPr>
        <w:numPr>
          <w:ilvl w:val="1"/>
          <w:numId w:val="5"/>
        </w:numPr>
        <w:spacing w:after="108" w:line="265" w:lineRule="auto"/>
        <w:ind w:right="50" w:hanging="252"/>
      </w:pPr>
      <w:r>
        <w:rPr>
          <w:sz w:val="28"/>
        </w:rPr>
        <w:t>Seam thickness contour Plan</w:t>
      </w:r>
    </w:p>
    <w:p w14:paraId="7D05AE0C" w14:textId="77777777" w:rsidR="00547841" w:rsidRDefault="00946220">
      <w:pPr>
        <w:numPr>
          <w:ilvl w:val="1"/>
          <w:numId w:val="5"/>
        </w:numPr>
        <w:spacing w:after="116"/>
        <w:ind w:right="50" w:hanging="252"/>
      </w:pPr>
      <w:r>
        <w:t>Seam dip contour Plan</w:t>
      </w:r>
    </w:p>
    <w:p w14:paraId="5DF2FC91" w14:textId="77777777" w:rsidR="00547841" w:rsidRDefault="00946220">
      <w:pPr>
        <w:numPr>
          <w:ilvl w:val="1"/>
          <w:numId w:val="5"/>
        </w:numPr>
        <w:spacing w:after="153"/>
        <w:ind w:right="50" w:hanging="252"/>
      </w:pPr>
      <w:r>
        <w:t>Depth of cover contour Plan</w:t>
      </w:r>
    </w:p>
    <w:p w14:paraId="4DD02A68" w14:textId="77777777" w:rsidR="00547841" w:rsidRDefault="00946220">
      <w:pPr>
        <w:numPr>
          <w:ilvl w:val="1"/>
          <w:numId w:val="5"/>
        </w:numPr>
        <w:spacing w:after="47" w:line="265" w:lineRule="auto"/>
        <w:ind w:right="50" w:hanging="252"/>
      </w:pPr>
      <w:r>
        <w:rPr>
          <w:sz w:val="28"/>
        </w:rPr>
        <w:t>Geological Ha</w:t>
      </w:r>
      <w:r>
        <w:rPr>
          <w:sz w:val="28"/>
        </w:rPr>
        <w:t>zard plan for the specific Panel (9N) Plan</w:t>
      </w:r>
    </w:p>
    <w:p w14:paraId="45F7A88E" w14:textId="77777777" w:rsidR="00547841" w:rsidRDefault="00946220">
      <w:pPr>
        <w:numPr>
          <w:ilvl w:val="1"/>
          <w:numId w:val="5"/>
        </w:numPr>
        <w:spacing w:after="464" w:line="265" w:lineRule="auto"/>
        <w:ind w:right="50" w:hanging="252"/>
      </w:pPr>
      <w:r>
        <w:rPr>
          <w:sz w:val="28"/>
        </w:rPr>
        <w:t>Cemented, Uncemented, Lost, Goaf Drainage Borehole plan</w:t>
      </w:r>
    </w:p>
    <w:p w14:paraId="490A2215" w14:textId="77777777" w:rsidR="00547841" w:rsidRDefault="00946220">
      <w:pPr>
        <w:spacing w:after="47" w:line="265" w:lineRule="auto"/>
        <w:ind w:left="179" w:right="50"/>
      </w:pPr>
      <w:r>
        <w:rPr>
          <w:sz w:val="28"/>
        </w:rPr>
        <w:t>3.0 Summary</w:t>
      </w:r>
    </w:p>
    <w:p w14:paraId="24CA58F2" w14:textId="77777777" w:rsidR="00547841" w:rsidRDefault="00946220">
      <w:pPr>
        <w:spacing w:after="525"/>
        <w:ind w:left="165" w:right="165"/>
      </w:pPr>
      <w:r>
        <w:t xml:space="preserve">It is not the intention of this MRE to question the methods of operation to be employed </w:t>
      </w:r>
      <w:proofErr w:type="gramStart"/>
      <w:r>
        <w:t>in regard to</w:t>
      </w:r>
      <w:proofErr w:type="gramEnd"/>
      <w:r>
        <w:t xml:space="preserve"> mining 9 North longwall but to ensure that the appropriate risk assessment processes have been followed in particular to principal hazards.</w:t>
      </w:r>
    </w:p>
    <w:p w14:paraId="01C3032D" w14:textId="77777777" w:rsidR="00547841" w:rsidRDefault="00946220">
      <w:pPr>
        <w:spacing w:after="47"/>
        <w:ind w:left="165" w:right="165"/>
      </w:pPr>
      <w:r>
        <w:t>A response to t</w:t>
      </w:r>
      <w:r>
        <w:t>he MRE content is required by 29 September 2016.</w:t>
      </w:r>
    </w:p>
    <w:p w14:paraId="315D7EDC" w14:textId="77777777" w:rsidR="00547841" w:rsidRDefault="00946220">
      <w:pPr>
        <w:spacing w:after="115" w:line="259" w:lineRule="auto"/>
        <w:ind w:left="324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6C23BA9D" wp14:editId="31BAFBB8">
                <wp:extent cx="1018940" cy="401993"/>
                <wp:effectExtent l="0" t="0" r="0" b="0"/>
                <wp:docPr id="11883" name="Group 11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940" cy="401993"/>
                          <a:chOff x="0" y="0"/>
                          <a:chExt cx="1018940" cy="401993"/>
                        </a:xfrm>
                      </wpg:grpSpPr>
                      <pic:pic xmlns:pic="http://schemas.openxmlformats.org/drawingml/2006/picture">
                        <pic:nvPicPr>
                          <pic:cNvPr id="12690" name="Picture 126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08"/>
                            <a:ext cx="1018940" cy="3745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32" name="Rectangle 5432"/>
                        <wps:cNvSpPr/>
                        <wps:spPr>
                          <a:xfrm>
                            <a:off x="36554" y="0"/>
                            <a:ext cx="121542" cy="346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BA365" w14:textId="77777777" w:rsidR="00547841" w:rsidRDefault="009462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83" style="width:80.2315pt;height:31.653pt;mso-position-horizontal-relative:char;mso-position-vertical-relative:line" coordsize="10189,4019">
                <v:shape id="Picture 12690" style="position:absolute;width:10189;height:3745;left:0;top:274;" filled="f">
                  <v:imagedata r:id="rId11"/>
                </v:shape>
                <v:rect id="Rectangle 5432" style="position:absolute;width:1215;height:3463;left:36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34"/>
                          </w:rPr>
                          <w:t xml:space="preserve">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AD88986" w14:textId="77777777" w:rsidR="00547841" w:rsidRDefault="00946220">
      <w:pPr>
        <w:spacing w:after="0" w:line="265" w:lineRule="auto"/>
        <w:ind w:left="179" w:right="50"/>
      </w:pPr>
      <w:r>
        <w:rPr>
          <w:sz w:val="28"/>
        </w:rPr>
        <w:t>Paul Brown</w:t>
      </w:r>
    </w:p>
    <w:p w14:paraId="1020D517" w14:textId="77777777" w:rsidR="00547841" w:rsidRDefault="00946220">
      <w:pPr>
        <w:spacing w:after="3" w:line="259" w:lineRule="auto"/>
        <w:ind w:left="204" w:hanging="10"/>
        <w:jc w:val="left"/>
      </w:pPr>
      <w:r>
        <w:rPr>
          <w:sz w:val="24"/>
        </w:rPr>
        <w:t>Inspector of Mines</w:t>
      </w:r>
    </w:p>
    <w:p w14:paraId="569B8D20" w14:textId="77777777" w:rsidR="00547841" w:rsidRDefault="00946220">
      <w:pPr>
        <w:spacing w:after="3" w:line="259" w:lineRule="auto"/>
        <w:ind w:left="204" w:hanging="10"/>
        <w:jc w:val="left"/>
      </w:pPr>
      <w:r>
        <w:rPr>
          <w:sz w:val="24"/>
        </w:rPr>
        <w:t>Central Region</w:t>
      </w:r>
    </w:p>
    <w:sectPr w:rsidR="00547841">
      <w:footerReference w:type="even" r:id="rId12"/>
      <w:footerReference w:type="default" r:id="rId13"/>
      <w:footerReference w:type="first" r:id="rId14"/>
      <w:pgSz w:w="11909" w:h="16841"/>
      <w:pgMar w:top="1816" w:right="1216" w:bottom="2122" w:left="132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38F7" w14:textId="77777777" w:rsidR="00946220" w:rsidRDefault="00946220">
      <w:pPr>
        <w:spacing w:after="0" w:line="240" w:lineRule="auto"/>
      </w:pPr>
      <w:r>
        <w:separator/>
      </w:r>
    </w:p>
  </w:endnote>
  <w:endnote w:type="continuationSeparator" w:id="0">
    <w:p w14:paraId="3EBF2448" w14:textId="77777777" w:rsidR="00946220" w:rsidRDefault="0094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C0B0" w14:textId="77777777" w:rsidR="00547841" w:rsidRDefault="00946220">
    <w:pPr>
      <w:tabs>
        <w:tab w:val="center" w:pos="4663"/>
        <w:tab w:val="right" w:pos="9369"/>
      </w:tabs>
      <w:spacing w:after="0" w:line="259" w:lineRule="auto"/>
      <w:ind w:left="0" w:firstLine="0"/>
      <w:jc w:val="left"/>
    </w:pPr>
    <w:r>
      <w:rPr>
        <w:sz w:val="18"/>
      </w:rPr>
      <w:t>22/09/2016</w:t>
    </w:r>
    <w:r>
      <w:rPr>
        <w:sz w:val="18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8"/>
      </w:rPr>
      <w:t xml:space="preserve">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627A" w14:textId="77777777" w:rsidR="00547841" w:rsidRDefault="00946220">
    <w:pPr>
      <w:tabs>
        <w:tab w:val="center" w:pos="4663"/>
        <w:tab w:val="right" w:pos="9369"/>
      </w:tabs>
      <w:spacing w:after="0" w:line="259" w:lineRule="auto"/>
      <w:ind w:left="0" w:firstLine="0"/>
      <w:jc w:val="left"/>
    </w:pPr>
    <w:r>
      <w:rPr>
        <w:sz w:val="18"/>
      </w:rPr>
      <w:t>22/09/2016</w:t>
    </w:r>
    <w:r>
      <w:rPr>
        <w:sz w:val="18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8"/>
      </w:rPr>
      <w:t xml:space="preserve">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0366" w14:textId="77777777" w:rsidR="00547841" w:rsidRDefault="00946220">
    <w:pPr>
      <w:tabs>
        <w:tab w:val="center" w:pos="4663"/>
        <w:tab w:val="right" w:pos="9369"/>
      </w:tabs>
      <w:spacing w:after="0" w:line="259" w:lineRule="auto"/>
      <w:ind w:left="0" w:firstLine="0"/>
      <w:jc w:val="left"/>
    </w:pPr>
    <w:r>
      <w:rPr>
        <w:sz w:val="18"/>
      </w:rPr>
      <w:t>22/09/2016</w:t>
    </w:r>
    <w:r>
      <w:rPr>
        <w:sz w:val="18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8"/>
      </w:rPr>
      <w:t xml:space="preserve">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848F" w14:textId="77777777" w:rsidR="00946220" w:rsidRDefault="00946220">
      <w:pPr>
        <w:spacing w:after="0" w:line="240" w:lineRule="auto"/>
      </w:pPr>
      <w:r>
        <w:separator/>
      </w:r>
    </w:p>
  </w:footnote>
  <w:footnote w:type="continuationSeparator" w:id="0">
    <w:p w14:paraId="0C0CEEB9" w14:textId="77777777" w:rsidR="00946220" w:rsidRDefault="0094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24" style="width:5.5pt;height:5.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125" style="width:6.5pt;height:6.5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numPicBullet w:numPicBulletId="2">
    <w:pict>
      <v:shape id="_x0000_i1126" style="width:5.5pt;height:5.5pt" coordsize="" o:spt="100" o:bullet="t" adj="0,,0" path="" stroked="f">
        <v:stroke joinstyle="miter"/>
        <v:imagedata r:id="rId3" o:title="image10"/>
        <v:formulas/>
        <v:path o:connecttype="segments"/>
      </v:shape>
    </w:pict>
  </w:numPicBullet>
  <w:abstractNum w:abstractNumId="0" w15:restartNumberingAfterBreak="0">
    <w:nsid w:val="10A671CF"/>
    <w:multiLevelType w:val="hybridMultilevel"/>
    <w:tmpl w:val="B41291AE"/>
    <w:lvl w:ilvl="0" w:tplc="4E76620A">
      <w:start w:val="2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8AB7E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72A32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CA1C4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DE21D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6080C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F2DB9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9655C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763F7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A2221"/>
    <w:multiLevelType w:val="hybridMultilevel"/>
    <w:tmpl w:val="03C881D8"/>
    <w:lvl w:ilvl="0" w:tplc="AC968EC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23036">
      <w:start w:val="1"/>
      <w:numFmt w:val="bullet"/>
      <w:lvlRestart w:val="0"/>
      <w:lvlText w:val="•"/>
      <w:lvlPicBulletId w:val="1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F4DB30">
      <w:start w:val="1"/>
      <w:numFmt w:val="bullet"/>
      <w:lvlText w:val="▪"/>
      <w:lvlJc w:val="left"/>
      <w:pPr>
        <w:ind w:left="1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082FCE">
      <w:start w:val="1"/>
      <w:numFmt w:val="bullet"/>
      <w:lvlText w:val="•"/>
      <w:lvlJc w:val="left"/>
      <w:pPr>
        <w:ind w:left="2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A2FFC">
      <w:start w:val="1"/>
      <w:numFmt w:val="bullet"/>
      <w:lvlText w:val="o"/>
      <w:lvlJc w:val="left"/>
      <w:pPr>
        <w:ind w:left="2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72A7E6">
      <w:start w:val="1"/>
      <w:numFmt w:val="bullet"/>
      <w:lvlText w:val="▪"/>
      <w:lvlJc w:val="left"/>
      <w:pPr>
        <w:ind w:left="3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8AB280">
      <w:start w:val="1"/>
      <w:numFmt w:val="bullet"/>
      <w:lvlText w:val="•"/>
      <w:lvlJc w:val="left"/>
      <w:pPr>
        <w:ind w:left="4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1EAD8A">
      <w:start w:val="1"/>
      <w:numFmt w:val="bullet"/>
      <w:lvlText w:val="o"/>
      <w:lvlJc w:val="left"/>
      <w:pPr>
        <w:ind w:left="4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1A6124">
      <w:start w:val="1"/>
      <w:numFmt w:val="bullet"/>
      <w:lvlText w:val="▪"/>
      <w:lvlJc w:val="left"/>
      <w:pPr>
        <w:ind w:left="5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FE2790"/>
    <w:multiLevelType w:val="hybridMultilevel"/>
    <w:tmpl w:val="CC86EF72"/>
    <w:lvl w:ilvl="0" w:tplc="7740742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DE65AA">
      <w:start w:val="1"/>
      <w:numFmt w:val="bullet"/>
      <w:lvlRestart w:val="0"/>
      <w:lvlText w:val="•"/>
      <w:lvlPicBulletId w:val="0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8C8540">
      <w:start w:val="1"/>
      <w:numFmt w:val="bullet"/>
      <w:lvlText w:val="▪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FC28A4">
      <w:start w:val="1"/>
      <w:numFmt w:val="bullet"/>
      <w:lvlText w:val="•"/>
      <w:lvlJc w:val="left"/>
      <w:pPr>
        <w:ind w:left="2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167222">
      <w:start w:val="1"/>
      <w:numFmt w:val="bullet"/>
      <w:lvlText w:val="o"/>
      <w:lvlJc w:val="left"/>
      <w:pPr>
        <w:ind w:left="2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687E6A">
      <w:start w:val="1"/>
      <w:numFmt w:val="bullet"/>
      <w:lvlText w:val="▪"/>
      <w:lvlJc w:val="left"/>
      <w:pPr>
        <w:ind w:left="3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88C27A">
      <w:start w:val="1"/>
      <w:numFmt w:val="bullet"/>
      <w:lvlText w:val="•"/>
      <w:lvlJc w:val="left"/>
      <w:pPr>
        <w:ind w:left="4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10D3DA">
      <w:start w:val="1"/>
      <w:numFmt w:val="bullet"/>
      <w:lvlText w:val="o"/>
      <w:lvlJc w:val="left"/>
      <w:pPr>
        <w:ind w:left="4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026BBA">
      <w:start w:val="1"/>
      <w:numFmt w:val="bullet"/>
      <w:lvlText w:val="▪"/>
      <w:lvlJc w:val="left"/>
      <w:pPr>
        <w:ind w:left="5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077301"/>
    <w:multiLevelType w:val="hybridMultilevel"/>
    <w:tmpl w:val="7BFA9AA2"/>
    <w:lvl w:ilvl="0" w:tplc="C936C72A">
      <w:start w:val="5"/>
      <w:numFmt w:val="decimal"/>
      <w:lvlText w:val="%1.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580724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08DE6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C87F3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2EB8C2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07DE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882B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50B9F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4C14C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9E139E"/>
    <w:multiLevelType w:val="hybridMultilevel"/>
    <w:tmpl w:val="963C10CE"/>
    <w:lvl w:ilvl="0" w:tplc="1EB465D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608698">
      <w:start w:val="1"/>
      <w:numFmt w:val="bullet"/>
      <w:lvlRestart w:val="0"/>
      <w:lvlText w:val="•"/>
      <w:lvlPicBulletId w:val="2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492DC">
      <w:start w:val="1"/>
      <w:numFmt w:val="bullet"/>
      <w:lvlText w:val="▪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D0EFCC">
      <w:start w:val="1"/>
      <w:numFmt w:val="bullet"/>
      <w:lvlText w:val="•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48A04">
      <w:start w:val="1"/>
      <w:numFmt w:val="bullet"/>
      <w:lvlText w:val="o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FEF8DE">
      <w:start w:val="1"/>
      <w:numFmt w:val="bullet"/>
      <w:lvlText w:val="▪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8E1B2E">
      <w:start w:val="1"/>
      <w:numFmt w:val="bullet"/>
      <w:lvlText w:val="•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207058">
      <w:start w:val="1"/>
      <w:numFmt w:val="bullet"/>
      <w:lvlText w:val="o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8ED446">
      <w:start w:val="1"/>
      <w:numFmt w:val="bullet"/>
      <w:lvlText w:val="▪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41"/>
    <w:rsid w:val="00361FFC"/>
    <w:rsid w:val="00547841"/>
    <w:rsid w:val="0094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53B5"/>
  <w15:docId w15:val="{D2FE1FF9-EC55-4545-B091-811FED90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4" w:line="216" w:lineRule="auto"/>
      <w:ind w:left="151" w:firstLine="4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89"/>
      <w:jc w:val="center"/>
      <w:outlineLvl w:val="0"/>
    </w:pPr>
    <w:rPr>
      <w:rFonts w:ascii="Calibri" w:eastAsia="Calibri" w:hAnsi="Calibri" w:cs="Calibri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cp:lastModifiedBy>Stuart Vaccaneo</cp:lastModifiedBy>
  <cp:revision>2</cp:revision>
  <dcterms:created xsi:type="dcterms:W3CDTF">2021-08-05T07:06:00Z</dcterms:created>
  <dcterms:modified xsi:type="dcterms:W3CDTF">2021-08-05T07:06:00Z</dcterms:modified>
</cp:coreProperties>
</file>