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9A20E" w14:textId="77777777" w:rsidR="006E1A2D" w:rsidRDefault="00601750">
      <w:pPr>
        <w:spacing w:after="0" w:line="259" w:lineRule="auto"/>
        <w:ind w:left="240" w:right="115" w:hanging="10"/>
        <w:jc w:val="center"/>
      </w:pPr>
      <w:r>
        <w:rPr>
          <w:sz w:val="20"/>
        </w:rPr>
        <w:t>Mackay District Office</w:t>
      </w:r>
    </w:p>
    <w:p w14:paraId="3D9AE5BA" w14:textId="77777777" w:rsidR="006E1A2D" w:rsidRDefault="00601750">
      <w:pPr>
        <w:spacing w:after="0" w:line="259" w:lineRule="auto"/>
        <w:ind w:left="115" w:right="1015" w:firstLine="0"/>
        <w:jc w:val="right"/>
      </w:pPr>
      <w:r>
        <w:rPr>
          <w:sz w:val="20"/>
        </w:rPr>
        <w:t>P.O. Box 1801, MACKAY QLD 4740</w:t>
      </w:r>
    </w:p>
    <w:p w14:paraId="7A6BE6F6" w14:textId="77777777" w:rsidR="006E1A2D" w:rsidRDefault="00601750">
      <w:pPr>
        <w:tabs>
          <w:tab w:val="center" w:pos="2605"/>
          <w:tab w:val="center" w:pos="7167"/>
        </w:tabs>
        <w:spacing w:after="0" w:line="259" w:lineRule="auto"/>
        <w:ind w:left="0" w:firstLine="0"/>
        <w:jc w:val="left"/>
      </w:pPr>
      <w:r>
        <w:rPr>
          <w:noProof/>
        </w:rPr>
        <w:drawing>
          <wp:anchor distT="0" distB="0" distL="114300" distR="114300" simplePos="0" relativeHeight="251658240" behindDoc="0" locked="0" layoutInCell="1" allowOverlap="0" wp14:anchorId="258AE63C" wp14:editId="5CAF51EE">
            <wp:simplePos x="0" y="0"/>
            <wp:positionH relativeFrom="column">
              <wp:posOffset>73108</wp:posOffset>
            </wp:positionH>
            <wp:positionV relativeFrom="paragraph">
              <wp:posOffset>-194587</wp:posOffset>
            </wp:positionV>
            <wp:extent cx="653401" cy="447673"/>
            <wp:effectExtent l="0" t="0" r="0" b="0"/>
            <wp:wrapSquare wrapText="bothSides"/>
            <wp:docPr id="13738" name="Picture 13738"/>
            <wp:cNvGraphicFramePr/>
            <a:graphic xmlns:a="http://schemas.openxmlformats.org/drawingml/2006/main">
              <a:graphicData uri="http://schemas.openxmlformats.org/drawingml/2006/picture">
                <pic:pic xmlns:pic="http://schemas.openxmlformats.org/drawingml/2006/picture">
                  <pic:nvPicPr>
                    <pic:cNvPr id="13738" name="Picture 13738"/>
                    <pic:cNvPicPr/>
                  </pic:nvPicPr>
                  <pic:blipFill>
                    <a:blip r:embed="rId7"/>
                    <a:stretch>
                      <a:fillRect/>
                    </a:stretch>
                  </pic:blipFill>
                  <pic:spPr>
                    <a:xfrm>
                      <a:off x="0" y="0"/>
                      <a:ext cx="653401" cy="447673"/>
                    </a:xfrm>
                    <a:prstGeom prst="rect">
                      <a:avLst/>
                    </a:prstGeom>
                  </pic:spPr>
                </pic:pic>
              </a:graphicData>
            </a:graphic>
          </wp:anchor>
        </w:drawing>
      </w:r>
      <w:r>
        <w:rPr>
          <w:sz w:val="18"/>
        </w:rPr>
        <w:tab/>
        <w:t>Queensland Government</w:t>
      </w:r>
      <w:r>
        <w:rPr>
          <w:sz w:val="18"/>
        </w:rPr>
        <w:tab/>
        <w:t>Phone: (07) 4999 8512, Fax: (07) 4999 8519</w:t>
      </w:r>
    </w:p>
    <w:tbl>
      <w:tblPr>
        <w:tblStyle w:val="TableGrid"/>
        <w:tblW w:w="9390" w:type="dxa"/>
        <w:tblInd w:w="108" w:type="dxa"/>
        <w:tblCellMar>
          <w:top w:w="35" w:type="dxa"/>
          <w:left w:w="0" w:type="dxa"/>
          <w:bottom w:w="0" w:type="dxa"/>
          <w:right w:w="94" w:type="dxa"/>
        </w:tblCellMar>
        <w:tblLook w:val="04A0" w:firstRow="1" w:lastRow="0" w:firstColumn="1" w:lastColumn="0" w:noHBand="0" w:noVBand="1"/>
      </w:tblPr>
      <w:tblGrid>
        <w:gridCol w:w="2418"/>
        <w:gridCol w:w="950"/>
        <w:gridCol w:w="2065"/>
        <w:gridCol w:w="1770"/>
        <w:gridCol w:w="1007"/>
        <w:gridCol w:w="1180"/>
      </w:tblGrid>
      <w:tr w:rsidR="006E1A2D" w14:paraId="3ACFBCA2" w14:textId="77777777">
        <w:trPr>
          <w:trHeight w:val="283"/>
        </w:trPr>
        <w:tc>
          <w:tcPr>
            <w:tcW w:w="2418" w:type="dxa"/>
            <w:tcBorders>
              <w:top w:val="single" w:sz="2" w:space="0" w:color="000000"/>
              <w:left w:val="nil"/>
              <w:bottom w:val="single" w:sz="2" w:space="0" w:color="000000"/>
              <w:right w:val="nil"/>
            </w:tcBorders>
          </w:tcPr>
          <w:p w14:paraId="188855C5" w14:textId="77777777" w:rsidR="006E1A2D" w:rsidRDefault="00601750">
            <w:pPr>
              <w:spacing w:after="0" w:line="259" w:lineRule="auto"/>
              <w:ind w:left="22" w:firstLine="0"/>
              <w:jc w:val="left"/>
            </w:pPr>
            <w:r>
              <w:rPr>
                <w:sz w:val="22"/>
              </w:rPr>
              <w:t>Mine Name</w:t>
            </w:r>
          </w:p>
        </w:tc>
        <w:tc>
          <w:tcPr>
            <w:tcW w:w="950" w:type="dxa"/>
            <w:tcBorders>
              <w:top w:val="single" w:sz="2" w:space="0" w:color="000000"/>
              <w:left w:val="nil"/>
              <w:bottom w:val="single" w:sz="2" w:space="0" w:color="000000"/>
              <w:right w:val="nil"/>
            </w:tcBorders>
          </w:tcPr>
          <w:p w14:paraId="414F1758" w14:textId="77777777" w:rsidR="006E1A2D" w:rsidRDefault="00601750">
            <w:pPr>
              <w:spacing w:after="0" w:line="259" w:lineRule="auto"/>
              <w:ind w:left="0" w:firstLine="0"/>
              <w:jc w:val="left"/>
            </w:pPr>
            <w:r>
              <w:rPr>
                <w:sz w:val="22"/>
              </w:rPr>
              <w:t>Mine ID</w:t>
            </w:r>
          </w:p>
        </w:tc>
        <w:tc>
          <w:tcPr>
            <w:tcW w:w="2065" w:type="dxa"/>
            <w:tcBorders>
              <w:top w:val="single" w:sz="2" w:space="0" w:color="000000"/>
              <w:left w:val="nil"/>
              <w:bottom w:val="single" w:sz="2" w:space="0" w:color="000000"/>
              <w:right w:val="nil"/>
            </w:tcBorders>
          </w:tcPr>
          <w:p w14:paraId="123F6E54" w14:textId="77777777" w:rsidR="006E1A2D" w:rsidRDefault="00601750">
            <w:pPr>
              <w:spacing w:after="0" w:line="259" w:lineRule="auto"/>
              <w:ind w:left="410" w:firstLine="0"/>
              <w:jc w:val="left"/>
            </w:pPr>
            <w:r>
              <w:rPr>
                <w:sz w:val="24"/>
              </w:rPr>
              <w:t>Operator</w:t>
            </w:r>
          </w:p>
        </w:tc>
        <w:tc>
          <w:tcPr>
            <w:tcW w:w="1770" w:type="dxa"/>
            <w:tcBorders>
              <w:top w:val="single" w:sz="2" w:space="0" w:color="000000"/>
              <w:left w:val="nil"/>
              <w:bottom w:val="single" w:sz="2" w:space="0" w:color="000000"/>
              <w:right w:val="nil"/>
            </w:tcBorders>
          </w:tcPr>
          <w:p w14:paraId="26783A73" w14:textId="77777777" w:rsidR="006E1A2D" w:rsidRDefault="00601750">
            <w:pPr>
              <w:spacing w:after="0" w:line="259" w:lineRule="auto"/>
              <w:ind w:left="0" w:firstLine="0"/>
              <w:jc w:val="left"/>
            </w:pPr>
            <w:r>
              <w:rPr>
                <w:sz w:val="24"/>
              </w:rPr>
              <w:t>Activity Type</w:t>
            </w:r>
          </w:p>
        </w:tc>
        <w:tc>
          <w:tcPr>
            <w:tcW w:w="1007" w:type="dxa"/>
            <w:tcBorders>
              <w:top w:val="single" w:sz="2" w:space="0" w:color="000000"/>
              <w:left w:val="nil"/>
              <w:bottom w:val="single" w:sz="2" w:space="0" w:color="000000"/>
              <w:right w:val="nil"/>
            </w:tcBorders>
          </w:tcPr>
          <w:p w14:paraId="6D670E83" w14:textId="77777777" w:rsidR="006E1A2D" w:rsidRDefault="00601750">
            <w:pPr>
              <w:spacing w:after="0" w:line="259" w:lineRule="auto"/>
              <w:ind w:left="0" w:firstLine="0"/>
              <w:jc w:val="left"/>
            </w:pPr>
            <w:r>
              <w:t>Region</w:t>
            </w:r>
          </w:p>
        </w:tc>
        <w:tc>
          <w:tcPr>
            <w:tcW w:w="1180" w:type="dxa"/>
            <w:tcBorders>
              <w:top w:val="single" w:sz="2" w:space="0" w:color="000000"/>
              <w:left w:val="nil"/>
              <w:bottom w:val="single" w:sz="2" w:space="0" w:color="000000"/>
              <w:right w:val="nil"/>
            </w:tcBorders>
          </w:tcPr>
          <w:p w14:paraId="25A4B565" w14:textId="77777777" w:rsidR="006E1A2D" w:rsidRDefault="00601750">
            <w:pPr>
              <w:spacing w:after="0" w:line="259" w:lineRule="auto"/>
              <w:ind w:left="0" w:firstLine="0"/>
              <w:jc w:val="left"/>
            </w:pPr>
            <w:r>
              <w:rPr>
                <w:sz w:val="22"/>
              </w:rPr>
              <w:t>Activity Date</w:t>
            </w:r>
          </w:p>
        </w:tc>
      </w:tr>
      <w:tr w:rsidR="006E1A2D" w14:paraId="6A88F161" w14:textId="77777777">
        <w:trPr>
          <w:trHeight w:val="407"/>
        </w:trPr>
        <w:tc>
          <w:tcPr>
            <w:tcW w:w="2418" w:type="dxa"/>
            <w:tcBorders>
              <w:top w:val="single" w:sz="2" w:space="0" w:color="000000"/>
              <w:left w:val="nil"/>
              <w:bottom w:val="single" w:sz="2" w:space="0" w:color="000000"/>
              <w:right w:val="nil"/>
            </w:tcBorders>
          </w:tcPr>
          <w:p w14:paraId="4E845DA1" w14:textId="77777777" w:rsidR="006E1A2D" w:rsidRDefault="00601750">
            <w:pPr>
              <w:spacing w:after="0" w:line="259" w:lineRule="auto"/>
              <w:ind w:left="14" w:firstLine="0"/>
              <w:jc w:val="left"/>
            </w:pPr>
            <w:r>
              <w:rPr>
                <w:sz w:val="18"/>
              </w:rPr>
              <w:t>Grosvenor Coal Mine</w:t>
            </w:r>
          </w:p>
        </w:tc>
        <w:tc>
          <w:tcPr>
            <w:tcW w:w="950" w:type="dxa"/>
            <w:tcBorders>
              <w:top w:val="single" w:sz="2" w:space="0" w:color="000000"/>
              <w:left w:val="nil"/>
              <w:bottom w:val="single" w:sz="2" w:space="0" w:color="000000"/>
              <w:right w:val="nil"/>
            </w:tcBorders>
          </w:tcPr>
          <w:p w14:paraId="4708CDF8" w14:textId="77777777" w:rsidR="006E1A2D" w:rsidRDefault="00601750">
            <w:pPr>
              <w:spacing w:after="0" w:line="259" w:lineRule="auto"/>
              <w:ind w:left="36" w:firstLine="0"/>
              <w:jc w:val="left"/>
            </w:pPr>
            <w:r>
              <w:rPr>
                <w:sz w:val="16"/>
              </w:rPr>
              <w:t xml:space="preserve">M102976 </w:t>
            </w:r>
          </w:p>
        </w:tc>
        <w:tc>
          <w:tcPr>
            <w:tcW w:w="2065" w:type="dxa"/>
            <w:tcBorders>
              <w:top w:val="single" w:sz="2" w:space="0" w:color="000000"/>
              <w:left w:val="nil"/>
              <w:bottom w:val="single" w:sz="2" w:space="0" w:color="000000"/>
              <w:right w:val="nil"/>
            </w:tcBorders>
          </w:tcPr>
          <w:p w14:paraId="37D26CD3" w14:textId="77777777" w:rsidR="006E1A2D" w:rsidRDefault="00601750">
            <w:pPr>
              <w:spacing w:after="0" w:line="259" w:lineRule="auto"/>
              <w:ind w:left="58" w:hanging="58"/>
              <w:jc w:val="left"/>
            </w:pPr>
            <w:r>
              <w:rPr>
                <w:sz w:val="18"/>
              </w:rPr>
              <w:t>Anglo Coal (Grosvenor Management) Pty Ltd</w:t>
            </w:r>
          </w:p>
        </w:tc>
        <w:tc>
          <w:tcPr>
            <w:tcW w:w="1770" w:type="dxa"/>
            <w:tcBorders>
              <w:top w:val="single" w:sz="2" w:space="0" w:color="000000"/>
              <w:left w:val="nil"/>
              <w:bottom w:val="single" w:sz="2" w:space="0" w:color="000000"/>
              <w:right w:val="nil"/>
            </w:tcBorders>
          </w:tcPr>
          <w:p w14:paraId="1EA5AA4E" w14:textId="77777777" w:rsidR="006E1A2D" w:rsidRDefault="00601750">
            <w:pPr>
              <w:spacing w:after="0" w:line="259" w:lineRule="auto"/>
              <w:ind w:left="122" w:firstLine="0"/>
              <w:jc w:val="left"/>
            </w:pPr>
            <w:r>
              <w:rPr>
                <w:sz w:val="18"/>
              </w:rPr>
              <w:t>Investigation</w:t>
            </w:r>
          </w:p>
          <w:p w14:paraId="54832908" w14:textId="77777777" w:rsidR="006E1A2D" w:rsidRDefault="00601750">
            <w:pPr>
              <w:spacing w:after="0" w:line="259" w:lineRule="auto"/>
              <w:ind w:left="259" w:firstLine="0"/>
              <w:jc w:val="left"/>
            </w:pPr>
            <w:r>
              <w:rPr>
                <w:sz w:val="18"/>
              </w:rPr>
              <w:t>Continued</w:t>
            </w:r>
          </w:p>
        </w:tc>
        <w:tc>
          <w:tcPr>
            <w:tcW w:w="1007" w:type="dxa"/>
            <w:tcBorders>
              <w:top w:val="single" w:sz="2" w:space="0" w:color="000000"/>
              <w:left w:val="nil"/>
              <w:bottom w:val="single" w:sz="2" w:space="0" w:color="000000"/>
              <w:right w:val="nil"/>
            </w:tcBorders>
          </w:tcPr>
          <w:p w14:paraId="46CA08AC" w14:textId="77777777" w:rsidR="006E1A2D" w:rsidRDefault="00601750">
            <w:pPr>
              <w:spacing w:after="0" w:line="259" w:lineRule="auto"/>
              <w:ind w:left="72" w:firstLine="0"/>
              <w:jc w:val="left"/>
            </w:pPr>
            <w:r>
              <w:rPr>
                <w:sz w:val="18"/>
              </w:rPr>
              <w:t>Central</w:t>
            </w:r>
          </w:p>
        </w:tc>
        <w:tc>
          <w:tcPr>
            <w:tcW w:w="1180" w:type="dxa"/>
            <w:tcBorders>
              <w:top w:val="single" w:sz="2" w:space="0" w:color="000000"/>
              <w:left w:val="nil"/>
              <w:bottom w:val="single" w:sz="2" w:space="0" w:color="000000"/>
              <w:right w:val="nil"/>
            </w:tcBorders>
          </w:tcPr>
          <w:p w14:paraId="4FBB967C" w14:textId="77777777" w:rsidR="006E1A2D" w:rsidRDefault="00601750">
            <w:pPr>
              <w:spacing w:after="0" w:line="259" w:lineRule="auto"/>
              <w:ind w:left="151" w:firstLine="0"/>
              <w:jc w:val="left"/>
            </w:pPr>
            <w:r>
              <w:rPr>
                <w:sz w:val="18"/>
              </w:rPr>
              <w:t>31/08/2016</w:t>
            </w:r>
          </w:p>
        </w:tc>
      </w:tr>
    </w:tbl>
    <w:p w14:paraId="22A10A61" w14:textId="77777777" w:rsidR="006E1A2D" w:rsidRDefault="00601750">
      <w:pPr>
        <w:spacing w:after="342" w:line="259" w:lineRule="auto"/>
        <w:ind w:left="240" w:hanging="10"/>
        <w:jc w:val="center"/>
      </w:pPr>
      <w:r>
        <w:rPr>
          <w:sz w:val="20"/>
        </w:rPr>
        <w:t>Vision: Our Industries Free of Safety and Health Incidents</w:t>
      </w:r>
    </w:p>
    <w:p w14:paraId="1717F38C" w14:textId="77777777" w:rsidR="006E1A2D" w:rsidRDefault="00601750">
      <w:pPr>
        <w:pStyle w:val="Heading1"/>
      </w:pPr>
      <w:r>
        <w:t>Mine Record Entry</w:t>
      </w:r>
    </w:p>
    <w:p w14:paraId="0CE70034" w14:textId="77777777" w:rsidR="006E1A2D" w:rsidRDefault="00601750">
      <w:pPr>
        <w:spacing w:after="47" w:line="216" w:lineRule="auto"/>
        <w:ind w:left="10" w:right="-187" w:hanging="10"/>
        <w:jc w:val="center"/>
      </w:pPr>
      <w:r>
        <w:t>This report forms part of the Mine Record under s68 of the Coal Mining Safety and</w:t>
      </w:r>
    </w:p>
    <w:p w14:paraId="14FF832A" w14:textId="77777777" w:rsidR="006E1A2D" w:rsidRDefault="00601750">
      <w:pPr>
        <w:spacing w:after="112" w:line="216" w:lineRule="auto"/>
        <w:ind w:left="10" w:hanging="10"/>
        <w:jc w:val="center"/>
      </w:pPr>
      <w:r>
        <w:t>Health Act 1999. It must be placed in the Mine Record and displayed on Safety Notice Boards.</w:t>
      </w:r>
    </w:p>
    <w:p w14:paraId="2957A58C" w14:textId="77777777" w:rsidR="006E1A2D" w:rsidRDefault="00601750">
      <w:pPr>
        <w:spacing w:after="583" w:line="216" w:lineRule="auto"/>
        <w:ind w:left="165" w:firstLine="101"/>
      </w:pPr>
      <w:r>
        <w:rPr>
          <w:sz w:val="28"/>
        </w:rPr>
        <w:t>Note that inspection or audit activities conducted by the Mines Inspectorate are based upon sample techniques. It remains the primary responsibility of Mine Person</w:t>
      </w:r>
      <w:r>
        <w:rPr>
          <w:sz w:val="28"/>
        </w:rPr>
        <w:t>nel to identify hazards, and risks associated with Operations and ensure those risks are at an acceptable level.</w:t>
      </w:r>
    </w:p>
    <w:p w14:paraId="2276A3AF" w14:textId="77777777" w:rsidR="006E1A2D" w:rsidRDefault="00601750">
      <w:pPr>
        <w:ind w:left="132" w:right="273"/>
      </w:pPr>
      <w:r>
        <w:t>Today, at 8:30am, Wednesday 31 August 2016, I arrived at Grosvenor Mine to -</w:t>
      </w:r>
    </w:p>
    <w:p w14:paraId="3C72306A" w14:textId="77777777" w:rsidR="006E1A2D" w:rsidRDefault="00601750">
      <w:pPr>
        <w:spacing w:after="129"/>
        <w:ind w:left="132" w:right="273"/>
      </w:pPr>
      <w:r>
        <w:t>1.0) Continue a series of interviews that began yesterday, in conn</w:t>
      </w:r>
      <w:r>
        <w:t>ection with a roof fall incident.</w:t>
      </w:r>
    </w:p>
    <w:p w14:paraId="03B8230F" w14:textId="77777777" w:rsidR="006E1A2D" w:rsidRDefault="00601750">
      <w:pPr>
        <w:spacing w:after="140"/>
        <w:ind w:left="132" w:right="273"/>
      </w:pPr>
      <w:r>
        <w:t>The incident, MG102 C Heading Fall of Ground 18 -19c/t occurred 5 June 2016 and the details are contained in MRE dated 6 June 2016.</w:t>
      </w:r>
    </w:p>
    <w:p w14:paraId="4A25B40A" w14:textId="77777777" w:rsidR="006E1A2D" w:rsidRDefault="00601750">
      <w:pPr>
        <w:spacing w:after="99"/>
        <w:ind w:left="132"/>
      </w:pPr>
      <w:r>
        <w:t>The Mine has subsequently provided a copy of their investigation as requested in the MRE w</w:t>
      </w:r>
      <w:r>
        <w:t>hich has prompted the need to conduct the interviews.</w:t>
      </w:r>
    </w:p>
    <w:p w14:paraId="2378C950" w14:textId="77777777" w:rsidR="006E1A2D" w:rsidRDefault="00601750">
      <w:pPr>
        <w:spacing w:after="165"/>
        <w:ind w:left="132" w:right="273"/>
      </w:pPr>
      <w:r>
        <w:t>The following section 1.0 summarises the work in progress into the roof-fall MG102 C heading and lists further documentation received in relation to that matter. I am also giving further consideration r</w:t>
      </w:r>
      <w:r>
        <w:t>egarding the wider implications from two later roof-falls -</w:t>
      </w:r>
    </w:p>
    <w:p w14:paraId="6BCFC831" w14:textId="77777777" w:rsidR="006E1A2D" w:rsidRDefault="00601750">
      <w:pPr>
        <w:numPr>
          <w:ilvl w:val="0"/>
          <w:numId w:val="1"/>
        </w:numPr>
        <w:spacing w:after="84" w:line="259" w:lineRule="auto"/>
        <w:ind w:hanging="252"/>
        <w:jc w:val="left"/>
      </w:pPr>
      <w:r>
        <w:rPr>
          <w:sz w:val="28"/>
        </w:rPr>
        <w:t>MG LW 101 (9:30pm on 4/7/16) and,</w:t>
      </w:r>
    </w:p>
    <w:p w14:paraId="1D40009B" w14:textId="77777777" w:rsidR="006E1A2D" w:rsidRDefault="00601750">
      <w:pPr>
        <w:numPr>
          <w:ilvl w:val="0"/>
          <w:numId w:val="1"/>
        </w:numPr>
        <w:spacing w:after="10" w:line="259" w:lineRule="auto"/>
        <w:ind w:hanging="252"/>
        <w:jc w:val="left"/>
      </w:pPr>
      <w:r>
        <w:rPr>
          <w:sz w:val="28"/>
        </w:rPr>
        <w:t>MG LWIOI Travel Road (7am on 20/8/16)</w:t>
      </w:r>
    </w:p>
    <w:p w14:paraId="3B63F713" w14:textId="77777777" w:rsidR="006E1A2D" w:rsidRDefault="00601750">
      <w:pPr>
        <w:spacing w:after="496"/>
        <w:ind w:left="132" w:right="273"/>
      </w:pPr>
      <w:r>
        <w:t xml:space="preserve">The latter two falls were reported on in separate MREs dated, Tuesday 5 July 2016 and </w:t>
      </w:r>
      <w:proofErr w:type="gramStart"/>
      <w:r>
        <w:t>Monday 22 August 2016</w:t>
      </w:r>
      <w:proofErr w:type="gramEnd"/>
      <w:r>
        <w:t xml:space="preserve"> respectively.</w:t>
      </w:r>
    </w:p>
    <w:p w14:paraId="050A79A9" w14:textId="77777777" w:rsidR="006E1A2D" w:rsidRDefault="00601750">
      <w:pPr>
        <w:spacing w:after="510"/>
        <w:ind w:left="132" w:right="273"/>
      </w:pPr>
      <w:r>
        <w:t>2.0) Identify the work in progress to remove asbestos from the Mine site.</w:t>
      </w:r>
    </w:p>
    <w:p w14:paraId="7DE9EF21" w14:textId="77777777" w:rsidR="006E1A2D" w:rsidRDefault="00601750">
      <w:pPr>
        <w:spacing w:after="1613"/>
        <w:ind w:left="132" w:right="273"/>
      </w:pPr>
      <w:r>
        <w:t>3.0) Clarify the health monitoring conducted associated with cavity fill/consolidation materials.</w:t>
      </w:r>
    </w:p>
    <w:p w14:paraId="1287C1AC" w14:textId="77777777" w:rsidR="006E1A2D" w:rsidRDefault="00601750">
      <w:pPr>
        <w:spacing w:after="0" w:line="259" w:lineRule="auto"/>
        <w:ind w:left="0" w:right="540" w:firstLine="0"/>
        <w:jc w:val="right"/>
      </w:pPr>
      <w:r>
        <w:rPr>
          <w:sz w:val="84"/>
        </w:rPr>
        <w:lastRenderedPageBreak/>
        <w:t xml:space="preserve">I </w:t>
      </w:r>
    </w:p>
    <w:p w14:paraId="7D1DA08C" w14:textId="77777777" w:rsidR="006E1A2D" w:rsidRDefault="00601750">
      <w:pPr>
        <w:pStyle w:val="Heading2"/>
        <w:ind w:left="38"/>
      </w:pPr>
      <w:r>
        <w:t>1 Investigation into Strata Control Failures</w:t>
      </w:r>
    </w:p>
    <w:p w14:paraId="74A51C7C" w14:textId="77777777" w:rsidR="006E1A2D" w:rsidRDefault="00601750">
      <w:pPr>
        <w:spacing w:after="39"/>
        <w:ind w:left="39" w:right="273"/>
      </w:pPr>
      <w:r>
        <w:t xml:space="preserve">I was met again by Mr Matthew Norris (Human Resources Superintendent) and provided with facilities to conduct </w:t>
      </w:r>
      <w:r>
        <w:t>the interviews with staff members one of which was a joint interview involving three persons.</w:t>
      </w:r>
    </w:p>
    <w:p w14:paraId="7D42A42C" w14:textId="77777777" w:rsidR="006E1A2D" w:rsidRDefault="00601750">
      <w:pPr>
        <w:spacing w:after="100"/>
        <w:ind w:left="25" w:right="273"/>
      </w:pPr>
      <w:r>
        <w:t xml:space="preserve">I have still to discuss the matter with ERZ Controllers and crew members involved in the shifts </w:t>
      </w:r>
      <w:proofErr w:type="gramStart"/>
      <w:r>
        <w:t>previous to</w:t>
      </w:r>
      <w:proofErr w:type="gramEnd"/>
      <w:r>
        <w:t xml:space="preserve"> the roof-fall and will make arrangements with the Mine</w:t>
      </w:r>
      <w:r>
        <w:t xml:space="preserve"> to do so.</w:t>
      </w:r>
    </w:p>
    <w:p w14:paraId="00A1382E" w14:textId="77777777" w:rsidR="006E1A2D" w:rsidRDefault="00601750">
      <w:pPr>
        <w:spacing w:after="39"/>
        <w:ind w:left="46" w:right="273"/>
      </w:pPr>
      <w:r>
        <w:t>Until I have done so I cannot complete my investigation and findings.</w:t>
      </w:r>
    </w:p>
    <w:p w14:paraId="43F4EA7E" w14:textId="77777777" w:rsidR="006E1A2D" w:rsidRDefault="00601750">
      <w:pPr>
        <w:pStyle w:val="Heading3"/>
        <w:spacing w:after="759"/>
        <w:ind w:left="118"/>
      </w:pPr>
      <w:r>
        <w:t>1.2 Next moves regarding Strata Control failures at Grosvenor</w:t>
      </w:r>
    </w:p>
    <w:p w14:paraId="25D4BCF1" w14:textId="77777777" w:rsidR="006E1A2D" w:rsidRDefault="00601750">
      <w:pPr>
        <w:numPr>
          <w:ilvl w:val="0"/>
          <w:numId w:val="2"/>
        </w:numPr>
        <w:ind w:right="230" w:hanging="252"/>
        <w:jc w:val="left"/>
      </w:pPr>
      <w:r>
        <w:t>Conduct interviews with ERZ Controllers and crew members involved in the original roof-fall incident.</w:t>
      </w:r>
    </w:p>
    <w:p w14:paraId="6D612E55" w14:textId="77777777" w:rsidR="006E1A2D" w:rsidRDefault="00601750">
      <w:pPr>
        <w:numPr>
          <w:ilvl w:val="0"/>
          <w:numId w:val="2"/>
        </w:numPr>
        <w:spacing w:after="328"/>
        <w:ind w:right="230" w:hanging="252"/>
        <w:jc w:val="left"/>
      </w:pPr>
      <w:r>
        <w:t>Consult wit</w:t>
      </w:r>
      <w:r>
        <w:t xml:space="preserve">h DNRM experts on the findings so far, with </w:t>
      </w:r>
      <w:proofErr w:type="gramStart"/>
      <w:r>
        <w:t>particular input</w:t>
      </w:r>
      <w:proofErr w:type="gramEnd"/>
      <w:r>
        <w:t xml:space="preserve"> from geotechnical expertise.</w:t>
      </w:r>
    </w:p>
    <w:p w14:paraId="443B6957" w14:textId="77777777" w:rsidR="006E1A2D" w:rsidRDefault="00601750">
      <w:pPr>
        <w:numPr>
          <w:ilvl w:val="0"/>
          <w:numId w:val="2"/>
        </w:numPr>
        <w:spacing w:after="0" w:line="216" w:lineRule="auto"/>
        <w:ind w:right="230" w:hanging="252"/>
        <w:jc w:val="left"/>
      </w:pPr>
      <w:r>
        <w:t xml:space="preserve">Read through the reports provided by Mr Foulstone on the matter, generated by impartial personnel with appropriate </w:t>
      </w:r>
      <w:proofErr w:type="gramStart"/>
      <w:r>
        <w:t>expertise.(</w:t>
      </w:r>
      <w:proofErr w:type="spellStart"/>
      <w:proofErr w:type="gramEnd"/>
      <w:r>
        <w:t>ie</w:t>
      </w:r>
      <w:proofErr w:type="spellEnd"/>
      <w:r>
        <w:t xml:space="preserve"> Terry Medhurst - Principal Geotechnic</w:t>
      </w:r>
      <w:r>
        <w:t xml:space="preserve">al Engineer PDR Engineers &amp; Lesley Munsamy Lead Geotechnical Engineer - </w:t>
      </w:r>
      <w:r>
        <w:tab/>
        <w:t>AAC)</w:t>
      </w:r>
    </w:p>
    <w:p w14:paraId="36450F30" w14:textId="77777777" w:rsidR="006E1A2D" w:rsidRDefault="00601750">
      <w:pPr>
        <w:numPr>
          <w:ilvl w:val="0"/>
          <w:numId w:val="2"/>
        </w:numPr>
        <w:spacing w:after="247" w:line="216" w:lineRule="auto"/>
        <w:ind w:right="230" w:hanging="252"/>
        <w:jc w:val="left"/>
      </w:pPr>
      <w:r>
        <w:t>Provide feedback to the Mine regarding future strata control strategy at the Mine. I have suggested that the Mine should review and create a document/presentation which gives the experience so far gleaned regarding strata control and clear reasoning regard</w:t>
      </w:r>
      <w:r>
        <w:t xml:space="preserve">ing strategy for the future in all aspects, life of </w:t>
      </w:r>
      <w:proofErr w:type="spellStart"/>
      <w:proofErr w:type="gramStart"/>
      <w:r>
        <w:t>mine,development</w:t>
      </w:r>
      <w:proofErr w:type="spellEnd"/>
      <w:proofErr w:type="gramEnd"/>
      <w:r>
        <w:t xml:space="preserve"> in gates and mains , secondary support and support for longwall activity.</w:t>
      </w:r>
    </w:p>
    <w:p w14:paraId="12648373" w14:textId="77777777" w:rsidR="006E1A2D" w:rsidRDefault="00601750">
      <w:pPr>
        <w:ind w:left="25" w:right="273"/>
      </w:pPr>
      <w:r>
        <w:t>Other non-strata control items dealt with during the attendance at Mine.</w:t>
      </w:r>
    </w:p>
    <w:p w14:paraId="3513928B" w14:textId="77777777" w:rsidR="006E1A2D" w:rsidRDefault="00601750">
      <w:pPr>
        <w:pStyle w:val="Heading2"/>
        <w:spacing w:after="162"/>
        <w:ind w:left="38"/>
      </w:pPr>
      <w:r>
        <w:t>2.0) Asbestos</w:t>
      </w:r>
    </w:p>
    <w:p w14:paraId="4AE9A813" w14:textId="77777777" w:rsidR="006E1A2D" w:rsidRDefault="00601750">
      <w:pPr>
        <w:spacing w:after="181" w:line="216" w:lineRule="auto"/>
        <w:ind w:left="17" w:right="187"/>
        <w:jc w:val="left"/>
      </w:pPr>
      <w:r>
        <w:t>I was informed by Mr Justi</w:t>
      </w:r>
      <w:r>
        <w:t>n Joubert (HSE Manager), in attendance with Mr Wayne Bull (UMM) that mining at Grosvenor was causing subsidence damage to a water pipeline which was a conduit from Eungella Dam on a surface easement under BHP control. The work involved specialist contracto</w:t>
      </w:r>
      <w:r>
        <w:t xml:space="preserve">rs who were cutting up the old concrete conduit and disposing of it. The concrete contains asbestos </w:t>
      </w:r>
      <w:proofErr w:type="gramStart"/>
      <w:r>
        <w:t>material</w:t>
      </w:r>
      <w:proofErr w:type="gramEnd"/>
      <w:r>
        <w:t xml:space="preserve"> and the contractor is a specialist in the field.</w:t>
      </w:r>
    </w:p>
    <w:p w14:paraId="00E1C8FB" w14:textId="77777777" w:rsidR="006E1A2D" w:rsidRDefault="00601750">
      <w:pPr>
        <w:spacing w:after="6" w:line="444" w:lineRule="auto"/>
        <w:ind w:left="123" w:right="5469" w:hanging="101"/>
      </w:pPr>
      <w:r>
        <w:t>I asked Mr Joubert to provide</w:t>
      </w:r>
      <w:r>
        <w:rPr>
          <w:noProof/>
        </w:rPr>
        <w:drawing>
          <wp:inline distT="0" distB="0" distL="0" distR="0" wp14:anchorId="4CE6F1E6" wp14:editId="52DAE79C">
            <wp:extent cx="73108" cy="73090"/>
            <wp:effectExtent l="0" t="0" r="0" b="0"/>
            <wp:docPr id="4345" name="Picture 4345"/>
            <wp:cNvGraphicFramePr/>
            <a:graphic xmlns:a="http://schemas.openxmlformats.org/drawingml/2006/main">
              <a:graphicData uri="http://schemas.openxmlformats.org/drawingml/2006/picture">
                <pic:pic xmlns:pic="http://schemas.openxmlformats.org/drawingml/2006/picture">
                  <pic:nvPicPr>
                    <pic:cNvPr id="4345" name="Picture 4345"/>
                    <pic:cNvPicPr/>
                  </pic:nvPicPr>
                  <pic:blipFill>
                    <a:blip r:embed="rId8"/>
                    <a:stretch>
                      <a:fillRect/>
                    </a:stretch>
                  </pic:blipFill>
                  <pic:spPr>
                    <a:xfrm>
                      <a:off x="0" y="0"/>
                      <a:ext cx="73108" cy="73090"/>
                    </a:xfrm>
                    <a:prstGeom prst="rect">
                      <a:avLst/>
                    </a:prstGeom>
                  </pic:spPr>
                </pic:pic>
              </a:graphicData>
            </a:graphic>
          </wp:inline>
        </w:drawing>
      </w:r>
      <w:r>
        <w:t xml:space="preserve"> details of the work in </w:t>
      </w:r>
      <w:proofErr w:type="gramStart"/>
      <w:r>
        <w:t>progress</w:t>
      </w:r>
      <w:proofErr w:type="gramEnd"/>
    </w:p>
    <w:p w14:paraId="70E8041F" w14:textId="77777777" w:rsidR="006E1A2D" w:rsidRDefault="00601750">
      <w:pPr>
        <w:numPr>
          <w:ilvl w:val="0"/>
          <w:numId w:val="3"/>
        </w:numPr>
        <w:ind w:right="273" w:hanging="245"/>
      </w:pPr>
      <w:r>
        <w:t>which of the parties were responsib</w:t>
      </w:r>
      <w:r>
        <w:t xml:space="preserve">le for the correct management of the </w:t>
      </w:r>
      <w:proofErr w:type="gramStart"/>
      <w:r>
        <w:t>asbestos hazard</w:t>
      </w:r>
      <w:proofErr w:type="gramEnd"/>
    </w:p>
    <w:p w14:paraId="0FF30949" w14:textId="77777777" w:rsidR="006E1A2D" w:rsidRDefault="00601750">
      <w:pPr>
        <w:numPr>
          <w:ilvl w:val="0"/>
          <w:numId w:val="3"/>
        </w:numPr>
        <w:spacing w:after="805"/>
        <w:ind w:right="273" w:hanging="245"/>
      </w:pPr>
      <w:r>
        <w:lastRenderedPageBreak/>
        <w:t>evidence of appropriate controls, licences, procedures</w:t>
      </w:r>
    </w:p>
    <w:p w14:paraId="79B7E373" w14:textId="77777777" w:rsidR="006E1A2D" w:rsidRDefault="00601750">
      <w:pPr>
        <w:spacing w:after="188" w:line="259" w:lineRule="auto"/>
        <w:ind w:left="146"/>
        <w:jc w:val="left"/>
      </w:pPr>
      <w:r>
        <w:rPr>
          <w:sz w:val="28"/>
        </w:rPr>
        <w:t>3) Health Monitoring Strata control materials</w:t>
      </w:r>
    </w:p>
    <w:p w14:paraId="1E9D99E2" w14:textId="77777777" w:rsidR="006E1A2D" w:rsidRDefault="00601750">
      <w:pPr>
        <w:ind w:left="132" w:right="173"/>
      </w:pPr>
      <w:r>
        <w:t xml:space="preserve">Wilson Mining Services provide cavity fill and reinforcement services for Grosvenor Mine. I had asked </w:t>
      </w:r>
      <w:r>
        <w:t>on a previous inspection for evidence of health monitoring for personnel who may be involved or affected by such products. It took nearly 2 months to provide evidence which was excessive. To resolve the situation a meeting was arranged to discuss the matte</w:t>
      </w:r>
      <w:r>
        <w:t>r.</w:t>
      </w:r>
    </w:p>
    <w:p w14:paraId="1F25242F" w14:textId="77777777" w:rsidR="006E1A2D" w:rsidRDefault="00601750">
      <w:pPr>
        <w:spacing w:after="0" w:line="398" w:lineRule="auto"/>
        <w:ind w:left="132" w:right="6239"/>
      </w:pPr>
      <w:r>
        <w:t>In attendance were Richard Gouldstone</w:t>
      </w:r>
    </w:p>
    <w:p w14:paraId="6EE9D193" w14:textId="77777777" w:rsidR="006E1A2D" w:rsidRDefault="00601750">
      <w:pPr>
        <w:spacing w:after="188" w:line="259" w:lineRule="auto"/>
        <w:ind w:left="146"/>
        <w:jc w:val="left"/>
      </w:pPr>
      <w:r>
        <w:rPr>
          <w:sz w:val="28"/>
        </w:rPr>
        <w:t>Wayne Bull</w:t>
      </w:r>
    </w:p>
    <w:p w14:paraId="1B19DE94" w14:textId="77777777" w:rsidR="006E1A2D" w:rsidRDefault="00601750">
      <w:pPr>
        <w:spacing w:after="226"/>
        <w:ind w:left="132" w:right="273"/>
      </w:pPr>
      <w:r>
        <w:t>Justin Joubert</w:t>
      </w:r>
    </w:p>
    <w:p w14:paraId="4A7C9614" w14:textId="77777777" w:rsidR="006E1A2D" w:rsidRDefault="00601750">
      <w:pPr>
        <w:spacing w:after="146" w:line="259" w:lineRule="auto"/>
        <w:ind w:left="146"/>
        <w:jc w:val="left"/>
      </w:pPr>
      <w:r>
        <w:rPr>
          <w:sz w:val="28"/>
        </w:rPr>
        <w:t>Mark Levey - CEO Wilson Mining Services</w:t>
      </w:r>
    </w:p>
    <w:p w14:paraId="28964D97" w14:textId="77777777" w:rsidR="006E1A2D" w:rsidRDefault="00601750">
      <w:pPr>
        <w:spacing w:after="208"/>
        <w:ind w:left="132" w:right="273"/>
      </w:pPr>
      <w:r>
        <w:t>Matthew Williams - Operations Manager Wilson Mining Services</w:t>
      </w:r>
    </w:p>
    <w:p w14:paraId="292B68E8" w14:textId="77777777" w:rsidR="006E1A2D" w:rsidRDefault="00601750">
      <w:pPr>
        <w:spacing w:after="260" w:line="216" w:lineRule="auto"/>
        <w:ind w:left="132" w:right="187"/>
        <w:jc w:val="left"/>
      </w:pPr>
      <w:r>
        <w:t xml:space="preserve">Mine site procedures must include for monitoring for health effects associated with Phenol and Creatinine. It was reported that only Wilson Mining </w:t>
      </w:r>
      <w:proofErr w:type="gramStart"/>
      <w:r>
        <w:t>Services(</w:t>
      </w:r>
      <w:proofErr w:type="gramEnd"/>
      <w:r>
        <w:t>WMS) personnel deal with the materials in question as no Grosvenor personnel enter the Zone of Opera</w:t>
      </w:r>
      <w:r>
        <w:t>tion(ZOO). Should they do so then they too would need health surveillance. Mine records identify what products are used, where and in what quantities. That information with deployment records should establish who needs testing for Phenol and Creatinine and</w:t>
      </w:r>
      <w:r>
        <w:t xml:space="preserve"> at what frequency.</w:t>
      </w:r>
    </w:p>
    <w:p w14:paraId="016457F7" w14:textId="77777777" w:rsidR="006E1A2D" w:rsidRDefault="00601750">
      <w:pPr>
        <w:ind w:left="132"/>
      </w:pPr>
      <w:r>
        <w:t>The four reports of analysis provided do not give a quick and simple representation of the status of each person sampled and any trends that may be relevant.</w:t>
      </w:r>
    </w:p>
    <w:p w14:paraId="018F3D61" w14:textId="77777777" w:rsidR="006E1A2D" w:rsidRDefault="00601750">
      <w:pPr>
        <w:spacing w:after="280"/>
        <w:ind w:left="132" w:right="468"/>
      </w:pPr>
      <w:r>
        <w:t xml:space="preserve">WMS organise the sampling and analysis for the </w:t>
      </w:r>
      <w:proofErr w:type="gramStart"/>
      <w:r>
        <w:t>Mine</w:t>
      </w:r>
      <w:proofErr w:type="gramEnd"/>
      <w:r>
        <w:t xml:space="preserve"> and it is strongly suggest</w:t>
      </w:r>
      <w:r>
        <w:t>ed that the information is presented in a more user friendly form to allow speedier assimilation of information.</w:t>
      </w:r>
    </w:p>
    <w:p w14:paraId="6F3270E0" w14:textId="77777777" w:rsidR="006E1A2D" w:rsidRDefault="00601750">
      <w:pPr>
        <w:spacing w:after="279"/>
        <w:ind w:left="132" w:right="273"/>
      </w:pPr>
      <w:r>
        <w:t xml:space="preserve">There was general agreement on the </w:t>
      </w:r>
      <w:proofErr w:type="gramStart"/>
      <w:r>
        <w:t>matter</w:t>
      </w:r>
      <w:proofErr w:type="gramEnd"/>
      <w:r>
        <w:t xml:space="preserve"> and it is left with the Mine and WMS to address the details in relation to -</w:t>
      </w:r>
    </w:p>
    <w:p w14:paraId="7D214761" w14:textId="77777777" w:rsidR="006E1A2D" w:rsidRDefault="00601750">
      <w:pPr>
        <w:ind w:left="511" w:right="273" w:hanging="245"/>
      </w:pPr>
      <w:r>
        <w:rPr>
          <w:noProof/>
        </w:rPr>
        <w:drawing>
          <wp:inline distT="0" distB="0" distL="0" distR="0" wp14:anchorId="32F42A75" wp14:editId="5C0D9BBA">
            <wp:extent cx="73108" cy="73089"/>
            <wp:effectExtent l="0" t="0" r="0" b="0"/>
            <wp:docPr id="6403" name="Picture 6403"/>
            <wp:cNvGraphicFramePr/>
            <a:graphic xmlns:a="http://schemas.openxmlformats.org/drawingml/2006/main">
              <a:graphicData uri="http://schemas.openxmlformats.org/drawingml/2006/picture">
                <pic:pic xmlns:pic="http://schemas.openxmlformats.org/drawingml/2006/picture">
                  <pic:nvPicPr>
                    <pic:cNvPr id="6403" name="Picture 6403"/>
                    <pic:cNvPicPr/>
                  </pic:nvPicPr>
                  <pic:blipFill>
                    <a:blip r:embed="rId9"/>
                    <a:stretch>
                      <a:fillRect/>
                    </a:stretch>
                  </pic:blipFill>
                  <pic:spPr>
                    <a:xfrm>
                      <a:off x="0" y="0"/>
                      <a:ext cx="73108" cy="73089"/>
                    </a:xfrm>
                    <a:prstGeom prst="rect">
                      <a:avLst/>
                    </a:prstGeom>
                  </pic:spPr>
                </pic:pic>
              </a:graphicData>
            </a:graphic>
          </wp:inline>
        </w:drawing>
      </w:r>
      <w:r>
        <w:t xml:space="preserve"> Establishing/reviewing</w:t>
      </w:r>
      <w:r>
        <w:t xml:space="preserve"> a procedure explaining the use of such materials with attendant sampling regimes</w:t>
      </w:r>
    </w:p>
    <w:p w14:paraId="00BC4B74" w14:textId="77777777" w:rsidR="006E1A2D" w:rsidRDefault="00601750">
      <w:pPr>
        <w:numPr>
          <w:ilvl w:val="0"/>
          <w:numId w:val="4"/>
        </w:numPr>
        <w:ind w:left="443" w:right="273" w:hanging="245"/>
      </w:pPr>
      <w:r>
        <w:t>Consideration of the timing of sampling and provision of results</w:t>
      </w:r>
    </w:p>
    <w:p w14:paraId="52A75451" w14:textId="77777777" w:rsidR="006E1A2D" w:rsidRDefault="00601750">
      <w:pPr>
        <w:numPr>
          <w:ilvl w:val="0"/>
          <w:numId w:val="4"/>
        </w:numPr>
        <w:ind w:left="443" w:right="273" w:hanging="245"/>
      </w:pPr>
      <w:r>
        <w:t>Maintenance of records in association with location and usage of cavity fill/reinforcement</w:t>
      </w:r>
    </w:p>
    <w:p w14:paraId="785A8396" w14:textId="77777777" w:rsidR="006E1A2D" w:rsidRDefault="00601750">
      <w:pPr>
        <w:numPr>
          <w:ilvl w:val="0"/>
          <w:numId w:val="4"/>
        </w:numPr>
        <w:spacing w:after="639"/>
        <w:ind w:left="443" w:right="273" w:hanging="245"/>
      </w:pPr>
      <w:r>
        <w:t xml:space="preserve">Simplification of </w:t>
      </w:r>
      <w:r>
        <w:t xml:space="preserve">result data to show trending and </w:t>
      </w:r>
      <w:proofErr w:type="spellStart"/>
      <w:proofErr w:type="gramStart"/>
      <w:r>
        <w:t>exceedences</w:t>
      </w:r>
      <w:proofErr w:type="spellEnd"/>
      <w:proofErr w:type="gramEnd"/>
    </w:p>
    <w:p w14:paraId="437706D4" w14:textId="77777777" w:rsidR="006E1A2D" w:rsidRDefault="00601750">
      <w:pPr>
        <w:numPr>
          <w:ilvl w:val="0"/>
          <w:numId w:val="4"/>
        </w:numPr>
        <w:spacing w:after="797"/>
        <w:ind w:left="443" w:right="273" w:hanging="245"/>
      </w:pPr>
      <w:r>
        <w:lastRenderedPageBreak/>
        <w:t xml:space="preserve">Demonstration that persons who may be affected receive appropriate monitoring for occasional </w:t>
      </w:r>
      <w:proofErr w:type="gramStart"/>
      <w:r>
        <w:t>exposure</w:t>
      </w:r>
      <w:proofErr w:type="gramEnd"/>
    </w:p>
    <w:p w14:paraId="484DDE3D" w14:textId="77777777" w:rsidR="006E1A2D" w:rsidRDefault="00601750">
      <w:pPr>
        <w:spacing w:after="188" w:line="259" w:lineRule="auto"/>
        <w:ind w:left="17"/>
        <w:jc w:val="left"/>
      </w:pPr>
      <w:r>
        <w:rPr>
          <w:sz w:val="28"/>
        </w:rPr>
        <w:t>4.0 Close-out Meeting</w:t>
      </w:r>
    </w:p>
    <w:p w14:paraId="6E53A139" w14:textId="77777777" w:rsidR="006E1A2D" w:rsidRDefault="00601750">
      <w:pPr>
        <w:spacing w:after="223" w:line="259" w:lineRule="auto"/>
        <w:ind w:left="25"/>
        <w:jc w:val="left"/>
      </w:pPr>
      <w:r>
        <w:rPr>
          <w:sz w:val="28"/>
        </w:rPr>
        <w:t>I had consulted on several occasions during the day principally with Mr Foulstone and Mr Bull.</w:t>
      </w:r>
    </w:p>
    <w:p w14:paraId="195D0A76" w14:textId="77777777" w:rsidR="006E1A2D" w:rsidRDefault="00601750">
      <w:pPr>
        <w:ind w:left="10" w:right="273"/>
      </w:pPr>
      <w:r>
        <w:t xml:space="preserve">I had received full cooperation throughout and ask that the Mine respond promptly with the request for information contained in this MRE </w:t>
      </w:r>
      <w:r>
        <w:rPr>
          <w:noProof/>
        </w:rPr>
        <w:drawing>
          <wp:inline distT="0" distB="0" distL="0" distR="0" wp14:anchorId="111C0484" wp14:editId="7AE5FC8A">
            <wp:extent cx="18277" cy="13704"/>
            <wp:effectExtent l="0" t="0" r="0" b="0"/>
            <wp:docPr id="7464" name="Picture 7464"/>
            <wp:cNvGraphicFramePr/>
            <a:graphic xmlns:a="http://schemas.openxmlformats.org/drawingml/2006/main">
              <a:graphicData uri="http://schemas.openxmlformats.org/drawingml/2006/picture">
                <pic:pic xmlns:pic="http://schemas.openxmlformats.org/drawingml/2006/picture">
                  <pic:nvPicPr>
                    <pic:cNvPr id="7464" name="Picture 7464"/>
                    <pic:cNvPicPr/>
                  </pic:nvPicPr>
                  <pic:blipFill>
                    <a:blip r:embed="rId10"/>
                    <a:stretch>
                      <a:fillRect/>
                    </a:stretch>
                  </pic:blipFill>
                  <pic:spPr>
                    <a:xfrm>
                      <a:off x="0" y="0"/>
                      <a:ext cx="18277" cy="13704"/>
                    </a:xfrm>
                    <a:prstGeom prst="rect">
                      <a:avLst/>
                    </a:prstGeom>
                  </pic:spPr>
                </pic:pic>
              </a:graphicData>
            </a:graphic>
          </wp:inline>
        </w:drawing>
      </w:r>
    </w:p>
    <w:p w14:paraId="216702FF" w14:textId="77777777" w:rsidR="006E1A2D" w:rsidRDefault="00601750">
      <w:pPr>
        <w:spacing w:after="1196"/>
        <w:ind w:left="3" w:right="482"/>
      </w:pPr>
      <w:r>
        <w:t>The investigation into</w:t>
      </w:r>
      <w:r>
        <w:t xml:space="preserve"> the roof-fall in MG 102 C Heading will continue, and the latter two falls will be given further consideration in the light of the conclusions from that investigation.</w:t>
      </w:r>
    </w:p>
    <w:p w14:paraId="07EAB7F9" w14:textId="77777777" w:rsidR="006E1A2D" w:rsidRDefault="00601750">
      <w:pPr>
        <w:spacing w:after="375" w:line="259" w:lineRule="auto"/>
        <w:ind w:left="266" w:firstLine="0"/>
        <w:jc w:val="left"/>
      </w:pPr>
      <w:r>
        <w:rPr>
          <w:noProof/>
        </w:rPr>
        <w:drawing>
          <wp:inline distT="0" distB="0" distL="0" distR="0" wp14:anchorId="64162A00" wp14:editId="4156232F">
            <wp:extent cx="2412558" cy="584717"/>
            <wp:effectExtent l="0" t="0" r="0" b="0"/>
            <wp:docPr id="7484" name="Picture 7484"/>
            <wp:cNvGraphicFramePr/>
            <a:graphic xmlns:a="http://schemas.openxmlformats.org/drawingml/2006/main">
              <a:graphicData uri="http://schemas.openxmlformats.org/drawingml/2006/picture">
                <pic:pic xmlns:pic="http://schemas.openxmlformats.org/drawingml/2006/picture">
                  <pic:nvPicPr>
                    <pic:cNvPr id="7484" name="Picture 7484"/>
                    <pic:cNvPicPr/>
                  </pic:nvPicPr>
                  <pic:blipFill>
                    <a:blip r:embed="rId11"/>
                    <a:stretch>
                      <a:fillRect/>
                    </a:stretch>
                  </pic:blipFill>
                  <pic:spPr>
                    <a:xfrm>
                      <a:off x="0" y="0"/>
                      <a:ext cx="2412558" cy="584717"/>
                    </a:xfrm>
                    <a:prstGeom prst="rect">
                      <a:avLst/>
                    </a:prstGeom>
                  </pic:spPr>
                </pic:pic>
              </a:graphicData>
            </a:graphic>
          </wp:inline>
        </w:drawing>
      </w:r>
    </w:p>
    <w:p w14:paraId="52A07BEF" w14:textId="77777777" w:rsidR="006E1A2D" w:rsidRDefault="00601750">
      <w:pPr>
        <w:spacing w:after="39"/>
        <w:ind w:left="17" w:right="273"/>
      </w:pPr>
      <w:r>
        <w:t>Richard Gouldstone</w:t>
      </w:r>
    </w:p>
    <w:p w14:paraId="71BF6DAB" w14:textId="77777777" w:rsidR="006E1A2D" w:rsidRDefault="00601750">
      <w:pPr>
        <w:spacing w:after="3" w:line="259" w:lineRule="auto"/>
        <w:ind w:left="9" w:hanging="10"/>
        <w:jc w:val="left"/>
      </w:pPr>
      <w:r>
        <w:rPr>
          <w:sz w:val="24"/>
        </w:rPr>
        <w:t>Inspector of Mines</w:t>
      </w:r>
    </w:p>
    <w:p w14:paraId="57DF1DE6" w14:textId="77777777" w:rsidR="006E1A2D" w:rsidRDefault="00601750">
      <w:pPr>
        <w:spacing w:after="3" w:line="259" w:lineRule="auto"/>
        <w:ind w:left="9" w:hanging="10"/>
        <w:jc w:val="left"/>
      </w:pPr>
      <w:r>
        <w:rPr>
          <w:sz w:val="24"/>
        </w:rPr>
        <w:t>Central Region</w:t>
      </w:r>
    </w:p>
    <w:sectPr w:rsidR="006E1A2D">
      <w:footerReference w:type="even" r:id="rId12"/>
      <w:footerReference w:type="default" r:id="rId13"/>
      <w:footerReference w:type="first" r:id="rId14"/>
      <w:pgSz w:w="11909" w:h="16841"/>
      <w:pgMar w:top="1645" w:right="1216" w:bottom="576" w:left="1331" w:header="720" w:footer="46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8575F" w14:textId="77777777" w:rsidR="00601750" w:rsidRDefault="00601750">
      <w:pPr>
        <w:spacing w:after="0" w:line="240" w:lineRule="auto"/>
      </w:pPr>
      <w:r>
        <w:separator/>
      </w:r>
    </w:p>
  </w:endnote>
  <w:endnote w:type="continuationSeparator" w:id="0">
    <w:p w14:paraId="7D4E4C90" w14:textId="77777777" w:rsidR="00601750" w:rsidRDefault="0060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89AFC" w14:textId="77777777" w:rsidR="006E1A2D" w:rsidRDefault="00601750">
    <w:pPr>
      <w:tabs>
        <w:tab w:val="center" w:pos="4544"/>
        <w:tab w:val="center" w:pos="8656"/>
      </w:tabs>
      <w:spacing w:after="0" w:line="259" w:lineRule="auto"/>
      <w:ind w:left="0" w:firstLine="0"/>
      <w:jc w:val="left"/>
    </w:pPr>
    <w:r>
      <w:rPr>
        <w:rFonts w:ascii="Times New Roman" w:eastAsia="Times New Roman" w:hAnsi="Times New Roman" w:cs="Times New Roman"/>
        <w:sz w:val="18"/>
      </w:rPr>
      <w:t>05/09/2016</w:t>
    </w:r>
    <w:r>
      <w:rPr>
        <w:rFonts w:ascii="Times New Roman" w:eastAsia="Times New Roman" w:hAnsi="Times New Roman" w:cs="Times New Roman"/>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w:t>
    </w:r>
    <w:r>
      <w:rPr>
        <w:sz w:val="18"/>
      </w:rPr>
      <w:t xml:space="preserve">of </w:t>
    </w:r>
    <w:r>
      <w:fldChar w:fldCharType="begin"/>
    </w:r>
    <w:r>
      <w:instrText xml:space="preserve"> NUMPAGES   \* MERGEFORMAT </w:instrText>
    </w:r>
    <w:r>
      <w:fldChar w:fldCharType="separate"/>
    </w:r>
    <w:r>
      <w:rPr>
        <w:sz w:val="18"/>
      </w:rPr>
      <w:t>4</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89FED" w14:textId="77777777" w:rsidR="006E1A2D" w:rsidRDefault="00601750">
    <w:pPr>
      <w:tabs>
        <w:tab w:val="center" w:pos="4544"/>
        <w:tab w:val="center" w:pos="8656"/>
      </w:tabs>
      <w:spacing w:after="0" w:line="259" w:lineRule="auto"/>
      <w:ind w:left="0" w:firstLine="0"/>
      <w:jc w:val="left"/>
    </w:pPr>
    <w:r>
      <w:rPr>
        <w:rFonts w:ascii="Times New Roman" w:eastAsia="Times New Roman" w:hAnsi="Times New Roman" w:cs="Times New Roman"/>
        <w:sz w:val="18"/>
      </w:rPr>
      <w:t>05/09/2016</w:t>
    </w:r>
    <w:r>
      <w:rPr>
        <w:rFonts w:ascii="Times New Roman" w:eastAsia="Times New Roman" w:hAnsi="Times New Roman" w:cs="Times New Roman"/>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w:t>
    </w:r>
    <w:r>
      <w:rPr>
        <w:sz w:val="18"/>
      </w:rPr>
      <w:t xml:space="preserve">of </w:t>
    </w:r>
    <w:r>
      <w:fldChar w:fldCharType="begin"/>
    </w:r>
    <w:r>
      <w:instrText xml:space="preserve"> NUMPAGES   \* MERGEFORMAT </w:instrText>
    </w:r>
    <w:r>
      <w:fldChar w:fldCharType="separate"/>
    </w:r>
    <w:r>
      <w:rPr>
        <w:sz w:val="18"/>
      </w:rPr>
      <w:t>4</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A9C97" w14:textId="77777777" w:rsidR="006E1A2D" w:rsidRDefault="00601750">
    <w:pPr>
      <w:tabs>
        <w:tab w:val="center" w:pos="4634"/>
        <w:tab w:val="center" w:pos="8750"/>
      </w:tabs>
      <w:spacing w:after="0" w:line="259" w:lineRule="auto"/>
      <w:ind w:left="0" w:firstLine="0"/>
      <w:jc w:val="left"/>
    </w:pPr>
    <w:r>
      <w:rPr>
        <w:sz w:val="18"/>
      </w:rPr>
      <w:t>05/09/2016</w:t>
    </w:r>
    <w:r>
      <w:rPr>
        <w:sz w:val="18"/>
      </w:rPr>
      <w:tab/>
    </w:r>
    <w:r>
      <w:rPr>
        <w:sz w:val="18"/>
      </w:rPr>
      <w:t>Mine Record Entry</w:t>
    </w:r>
    <w:r>
      <w:rPr>
        <w:sz w:val="18"/>
      </w:rPr>
      <w:tab/>
    </w:r>
    <w:r>
      <w:rPr>
        <w:sz w:val="20"/>
      </w:rPr>
      <w:t xml:space="preserve">Page </w:t>
    </w:r>
    <w:r>
      <w:rPr>
        <w:sz w:val="18"/>
      </w:rPr>
      <w:t>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987CE" w14:textId="77777777" w:rsidR="00601750" w:rsidRDefault="00601750">
      <w:pPr>
        <w:spacing w:after="0" w:line="240" w:lineRule="auto"/>
      </w:pPr>
      <w:r>
        <w:separator/>
      </w:r>
    </w:p>
  </w:footnote>
  <w:footnote w:type="continuationSeparator" w:id="0">
    <w:p w14:paraId="686BF22F" w14:textId="77777777" w:rsidR="00601750" w:rsidRDefault="00601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115" style="width:6pt;height:6.5pt" coordsize="" o:spt="100" o:bullet="t" adj="0,,0" path="" stroked="f">
        <v:stroke joinstyle="miter"/>
        <v:imagedata r:id="rId1" o:title="image9"/>
        <v:formulas/>
        <v:path o:connecttype="segments"/>
      </v:shape>
    </w:pict>
  </w:numPicBullet>
  <w:numPicBullet w:numPicBulletId="1">
    <w:pict>
      <v:shape id="_x0000_i1116" style="width:6.5pt;height:6.5pt" coordsize="" o:spt="100" o:bullet="t" adj="0,,0" path="" stroked="f">
        <v:stroke joinstyle="miter"/>
        <v:imagedata r:id="rId2" o:title="image10"/>
        <v:formulas/>
        <v:path o:connecttype="segments"/>
      </v:shape>
    </w:pict>
  </w:numPicBullet>
  <w:numPicBullet w:numPicBulletId="2">
    <w:pict>
      <v:shape id="_x0000_i1117" style="width:6.5pt;height:6.5pt" coordsize="" o:spt="100" o:bullet="t" adj="0,,0" path="" stroked="f">
        <v:stroke joinstyle="miter"/>
        <v:imagedata r:id="rId3" o:title="image11"/>
        <v:formulas/>
        <v:path o:connecttype="segments"/>
      </v:shape>
    </w:pict>
  </w:numPicBullet>
  <w:numPicBullet w:numPicBulletId="3">
    <w:pict>
      <v:shape id="_x0000_i1118" style="width:6.5pt;height:6.5pt" coordsize="" o:spt="100" o:bullet="t" adj="0,,0" path="" stroked="f">
        <v:stroke joinstyle="miter"/>
        <v:imagedata r:id="rId4" o:title="image12"/>
        <v:formulas/>
        <v:path o:connecttype="segments"/>
      </v:shape>
    </w:pict>
  </w:numPicBullet>
  <w:abstractNum w:abstractNumId="0" w15:restartNumberingAfterBreak="0">
    <w:nsid w:val="416C0E3F"/>
    <w:multiLevelType w:val="hybridMultilevel"/>
    <w:tmpl w:val="8B081C8C"/>
    <w:lvl w:ilvl="0" w:tplc="7EC25DE6">
      <w:start w:val="1"/>
      <w:numFmt w:val="bullet"/>
      <w:lvlText w:val="•"/>
      <w:lvlPicBulletId w:val="2"/>
      <w:lvlJc w:val="left"/>
      <w:pPr>
        <w:ind w:left="4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A34AD32">
      <w:start w:val="1"/>
      <w:numFmt w:val="bullet"/>
      <w:lvlText w:val="o"/>
      <w:lvlJc w:val="left"/>
      <w:pPr>
        <w:ind w:left="14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2243672">
      <w:start w:val="1"/>
      <w:numFmt w:val="bullet"/>
      <w:lvlText w:val="▪"/>
      <w:lvlJc w:val="left"/>
      <w:pPr>
        <w:ind w:left="21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59AC162">
      <w:start w:val="1"/>
      <w:numFmt w:val="bullet"/>
      <w:lvlText w:val="•"/>
      <w:lvlJc w:val="left"/>
      <w:pPr>
        <w:ind w:left="28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972EB48">
      <w:start w:val="1"/>
      <w:numFmt w:val="bullet"/>
      <w:lvlText w:val="o"/>
      <w:lvlJc w:val="left"/>
      <w:pPr>
        <w:ind w:left="35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EF262BE">
      <w:start w:val="1"/>
      <w:numFmt w:val="bullet"/>
      <w:lvlText w:val="▪"/>
      <w:lvlJc w:val="left"/>
      <w:pPr>
        <w:ind w:left="43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7DE83D2">
      <w:start w:val="1"/>
      <w:numFmt w:val="bullet"/>
      <w:lvlText w:val="•"/>
      <w:lvlJc w:val="left"/>
      <w:pPr>
        <w:ind w:left="50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06E8F4A">
      <w:start w:val="1"/>
      <w:numFmt w:val="bullet"/>
      <w:lvlText w:val="o"/>
      <w:lvlJc w:val="left"/>
      <w:pPr>
        <w:ind w:left="57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CD8491A">
      <w:start w:val="1"/>
      <w:numFmt w:val="bullet"/>
      <w:lvlText w:val="▪"/>
      <w:lvlJc w:val="left"/>
      <w:pPr>
        <w:ind w:left="64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4328123A"/>
    <w:multiLevelType w:val="hybridMultilevel"/>
    <w:tmpl w:val="E4BA772C"/>
    <w:lvl w:ilvl="0" w:tplc="37C609F6">
      <w:start w:val="1"/>
      <w:numFmt w:val="bullet"/>
      <w:lvlText w:val="•"/>
      <w:lvlPicBulletId w:val="1"/>
      <w:lvlJc w:val="left"/>
      <w:pPr>
        <w:ind w:left="3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626D166">
      <w:start w:val="1"/>
      <w:numFmt w:val="bullet"/>
      <w:lvlText w:val="o"/>
      <w:lvlJc w:val="left"/>
      <w:pPr>
        <w:ind w:left="13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5EEF69C">
      <w:start w:val="1"/>
      <w:numFmt w:val="bullet"/>
      <w:lvlText w:val="▪"/>
      <w:lvlJc w:val="left"/>
      <w:pPr>
        <w:ind w:left="20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E52ED1C">
      <w:start w:val="1"/>
      <w:numFmt w:val="bullet"/>
      <w:lvlText w:val="•"/>
      <w:lvlJc w:val="left"/>
      <w:pPr>
        <w:ind w:left="27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C743246">
      <w:start w:val="1"/>
      <w:numFmt w:val="bullet"/>
      <w:lvlText w:val="o"/>
      <w:lvlJc w:val="left"/>
      <w:pPr>
        <w:ind w:left="34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6066254">
      <w:start w:val="1"/>
      <w:numFmt w:val="bullet"/>
      <w:lvlText w:val="▪"/>
      <w:lvlJc w:val="left"/>
      <w:pPr>
        <w:ind w:left="42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F1A298E">
      <w:start w:val="1"/>
      <w:numFmt w:val="bullet"/>
      <w:lvlText w:val="•"/>
      <w:lvlJc w:val="left"/>
      <w:pPr>
        <w:ind w:left="49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426072A">
      <w:start w:val="1"/>
      <w:numFmt w:val="bullet"/>
      <w:lvlText w:val="o"/>
      <w:lvlJc w:val="left"/>
      <w:pPr>
        <w:ind w:left="56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56E4690">
      <w:start w:val="1"/>
      <w:numFmt w:val="bullet"/>
      <w:lvlText w:val="▪"/>
      <w:lvlJc w:val="left"/>
      <w:pPr>
        <w:ind w:left="63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52C3FC7"/>
    <w:multiLevelType w:val="hybridMultilevel"/>
    <w:tmpl w:val="E07469FE"/>
    <w:lvl w:ilvl="0" w:tplc="C0283E98">
      <w:start w:val="1"/>
      <w:numFmt w:val="bullet"/>
      <w:lvlText w:val="•"/>
      <w:lvlPicBulletId w:val="0"/>
      <w:lvlJc w:val="left"/>
      <w:pPr>
        <w:ind w:left="4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8DA1BF2">
      <w:start w:val="1"/>
      <w:numFmt w:val="bullet"/>
      <w:lvlText w:val="o"/>
      <w:lvlJc w:val="left"/>
      <w:pPr>
        <w:ind w:left="14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C0C0B80">
      <w:start w:val="1"/>
      <w:numFmt w:val="bullet"/>
      <w:lvlText w:val="▪"/>
      <w:lvlJc w:val="left"/>
      <w:pPr>
        <w:ind w:left="21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B5E4EE2">
      <w:start w:val="1"/>
      <w:numFmt w:val="bullet"/>
      <w:lvlText w:val="•"/>
      <w:lvlJc w:val="left"/>
      <w:pPr>
        <w:ind w:left="28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406E2B2">
      <w:start w:val="1"/>
      <w:numFmt w:val="bullet"/>
      <w:lvlText w:val="o"/>
      <w:lvlJc w:val="left"/>
      <w:pPr>
        <w:ind w:left="36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A602974">
      <w:start w:val="1"/>
      <w:numFmt w:val="bullet"/>
      <w:lvlText w:val="▪"/>
      <w:lvlJc w:val="left"/>
      <w:pPr>
        <w:ind w:left="43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F7CBA0E">
      <w:start w:val="1"/>
      <w:numFmt w:val="bullet"/>
      <w:lvlText w:val="•"/>
      <w:lvlJc w:val="left"/>
      <w:pPr>
        <w:ind w:left="50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E227830">
      <w:start w:val="1"/>
      <w:numFmt w:val="bullet"/>
      <w:lvlText w:val="o"/>
      <w:lvlJc w:val="left"/>
      <w:pPr>
        <w:ind w:left="57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3F49D86">
      <w:start w:val="1"/>
      <w:numFmt w:val="bullet"/>
      <w:lvlText w:val="▪"/>
      <w:lvlJc w:val="left"/>
      <w:pPr>
        <w:ind w:left="64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CA3292D"/>
    <w:multiLevelType w:val="hybridMultilevel"/>
    <w:tmpl w:val="D966B7BC"/>
    <w:lvl w:ilvl="0" w:tplc="5BFEBD44">
      <w:start w:val="1"/>
      <w:numFmt w:val="bullet"/>
      <w:lvlText w:val="•"/>
      <w:lvlPicBulletId w:val="3"/>
      <w:lvlJc w:val="left"/>
      <w:pPr>
        <w:ind w:left="4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F848E5A">
      <w:start w:val="1"/>
      <w:numFmt w:val="bullet"/>
      <w:lvlText w:val="o"/>
      <w:lvlJc w:val="left"/>
      <w:pPr>
        <w:ind w:left="13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7569168">
      <w:start w:val="1"/>
      <w:numFmt w:val="bullet"/>
      <w:lvlText w:val="▪"/>
      <w:lvlJc w:val="left"/>
      <w:pPr>
        <w:ind w:left="20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ABAC48A">
      <w:start w:val="1"/>
      <w:numFmt w:val="bullet"/>
      <w:lvlText w:val="•"/>
      <w:lvlJc w:val="left"/>
      <w:pPr>
        <w:ind w:left="27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37EB084">
      <w:start w:val="1"/>
      <w:numFmt w:val="bullet"/>
      <w:lvlText w:val="o"/>
      <w:lvlJc w:val="left"/>
      <w:pPr>
        <w:ind w:left="35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EAC5A9A">
      <w:start w:val="1"/>
      <w:numFmt w:val="bullet"/>
      <w:lvlText w:val="▪"/>
      <w:lvlJc w:val="left"/>
      <w:pPr>
        <w:ind w:left="42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F924D2E">
      <w:start w:val="1"/>
      <w:numFmt w:val="bullet"/>
      <w:lvlText w:val="•"/>
      <w:lvlJc w:val="left"/>
      <w:pPr>
        <w:ind w:left="49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7AAC3F2">
      <w:start w:val="1"/>
      <w:numFmt w:val="bullet"/>
      <w:lvlText w:val="o"/>
      <w:lvlJc w:val="left"/>
      <w:pPr>
        <w:ind w:left="56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3E22486">
      <w:start w:val="1"/>
      <w:numFmt w:val="bullet"/>
      <w:lvlText w:val="▪"/>
      <w:lvlJc w:val="left"/>
      <w:pPr>
        <w:ind w:left="63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A2D"/>
    <w:rsid w:val="00601750"/>
    <w:rsid w:val="006E1A2D"/>
    <w:rsid w:val="00A90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289F"/>
  <w15:docId w15:val="{72CB88EA-A535-4845-88FC-0B7573F1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7" w:line="223" w:lineRule="auto"/>
      <w:ind w:left="133" w:hanging="3"/>
      <w:jc w:val="both"/>
    </w:pPr>
    <w:rPr>
      <w:rFonts w:ascii="Calibri" w:eastAsia="Calibri" w:hAnsi="Calibri" w:cs="Calibri"/>
      <w:color w:val="000000"/>
      <w:sz w:val="26"/>
    </w:rPr>
  </w:style>
  <w:style w:type="paragraph" w:styleId="Heading1">
    <w:name w:val="heading 1"/>
    <w:next w:val="Normal"/>
    <w:link w:val="Heading1Char"/>
    <w:uiPriority w:val="9"/>
    <w:qFormat/>
    <w:pPr>
      <w:keepNext/>
      <w:keepLines/>
      <w:spacing w:after="0"/>
      <w:ind w:left="259"/>
      <w:jc w:val="center"/>
      <w:outlineLvl w:val="0"/>
    </w:pPr>
    <w:rPr>
      <w:rFonts w:ascii="Calibri" w:eastAsia="Calibri" w:hAnsi="Calibri" w:cs="Calibri"/>
      <w:color w:val="000000"/>
      <w:sz w:val="60"/>
    </w:rPr>
  </w:style>
  <w:style w:type="paragraph" w:styleId="Heading2">
    <w:name w:val="heading 2"/>
    <w:next w:val="Normal"/>
    <w:link w:val="Heading2Char"/>
    <w:uiPriority w:val="9"/>
    <w:unhideWhenUsed/>
    <w:qFormat/>
    <w:pPr>
      <w:keepNext/>
      <w:keepLines/>
      <w:spacing w:after="21" w:line="265" w:lineRule="auto"/>
      <w:ind w:left="53" w:hanging="10"/>
      <w:outlineLvl w:val="1"/>
    </w:pPr>
    <w:rPr>
      <w:rFonts w:ascii="Calibri" w:eastAsia="Calibri" w:hAnsi="Calibri" w:cs="Calibri"/>
      <w:color w:val="000000"/>
      <w:sz w:val="30"/>
    </w:rPr>
  </w:style>
  <w:style w:type="paragraph" w:styleId="Heading3">
    <w:name w:val="heading 3"/>
    <w:next w:val="Normal"/>
    <w:link w:val="Heading3Char"/>
    <w:uiPriority w:val="9"/>
    <w:unhideWhenUsed/>
    <w:qFormat/>
    <w:pPr>
      <w:keepNext/>
      <w:keepLines/>
      <w:spacing w:after="21" w:line="265" w:lineRule="auto"/>
      <w:ind w:left="53" w:hanging="10"/>
      <w:outlineLvl w:val="2"/>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0"/>
    </w:rPr>
  </w:style>
  <w:style w:type="character" w:customStyle="1" w:styleId="Heading2Char">
    <w:name w:val="Heading 2 Char"/>
    <w:link w:val="Heading2"/>
    <w:rPr>
      <w:rFonts w:ascii="Calibri" w:eastAsia="Calibri" w:hAnsi="Calibri" w:cs="Calibri"/>
      <w:color w:val="000000"/>
      <w:sz w:val="30"/>
    </w:rPr>
  </w:style>
  <w:style w:type="character" w:customStyle="1" w:styleId="Heading3Char">
    <w:name w:val="Heading 3 Char"/>
    <w:link w:val="Heading3"/>
    <w:rPr>
      <w:rFonts w:ascii="Calibri" w:eastAsia="Calibri" w:hAnsi="Calibri" w:cs="Calibr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5.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9.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image" Target="media/image7.jp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976</Words>
  <Characters>5568</Characters>
  <Application>Microsoft Office Word</Application>
  <DocSecurity>0</DocSecurity>
  <Lines>46</Lines>
  <Paragraphs>13</Paragraphs>
  <ScaleCrop>false</ScaleCrop>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2021-07-11T06:18:00Z</dcterms:created>
  <dcterms:modified xsi:type="dcterms:W3CDTF">2021-07-11T06:18:00Z</dcterms:modified>
</cp:coreProperties>
</file>