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A08D2" w14:textId="77777777" w:rsidR="00BA5D4A" w:rsidRDefault="00C3271F">
      <w:pPr>
        <w:spacing w:after="154"/>
        <w:ind w:left="3358" w:hanging="10"/>
        <w:jc w:val="center"/>
      </w:pPr>
      <w:r>
        <w:rPr>
          <w:sz w:val="20"/>
        </w:rPr>
        <w:t>Mackay District Office</w:t>
      </w:r>
    </w:p>
    <w:p w14:paraId="1FE12141" w14:textId="77777777" w:rsidR="00BA5D4A" w:rsidRDefault="00C3271F">
      <w:pPr>
        <w:tabs>
          <w:tab w:val="center" w:pos="2594"/>
          <w:tab w:val="center" w:pos="7158"/>
        </w:tabs>
        <w:spacing w:after="3"/>
      </w:pPr>
      <w:r>
        <w:rPr>
          <w:sz w:val="18"/>
        </w:rPr>
        <w:tab/>
      </w:r>
      <w:r>
        <w:rPr>
          <w:noProof/>
        </w:rPr>
        <w:drawing>
          <wp:inline distT="0" distB="0" distL="0" distR="0" wp14:anchorId="7D08A4B2" wp14:editId="4FA33C25">
            <wp:extent cx="3226" cy="6454"/>
            <wp:effectExtent l="0" t="0" r="0" b="0"/>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5"/>
                    <a:stretch>
                      <a:fillRect/>
                    </a:stretch>
                  </pic:blipFill>
                  <pic:spPr>
                    <a:xfrm>
                      <a:off x="0" y="0"/>
                      <a:ext cx="3226" cy="6454"/>
                    </a:xfrm>
                    <a:prstGeom prst="rect">
                      <a:avLst/>
                    </a:prstGeom>
                  </pic:spPr>
                </pic:pic>
              </a:graphicData>
            </a:graphic>
          </wp:inline>
        </w:drawing>
      </w:r>
      <w:r>
        <w:rPr>
          <w:sz w:val="18"/>
        </w:rPr>
        <w:t>Queensland Government</w:t>
      </w:r>
      <w:r>
        <w:rPr>
          <w:sz w:val="18"/>
        </w:rPr>
        <w:tab/>
        <w:t>Phone: P.O. Box (07) 1801, 4999 MACKAY 8512, Fax: QLD (07) 47404999 8519</w:t>
      </w:r>
    </w:p>
    <w:p w14:paraId="1AC58099" w14:textId="77777777" w:rsidR="00BA5D4A" w:rsidRDefault="00C3271F">
      <w:pPr>
        <w:spacing w:after="216"/>
        <w:ind w:left="930"/>
      </w:pPr>
      <w:r>
        <w:rPr>
          <w:noProof/>
        </w:rPr>
        <w:drawing>
          <wp:inline distT="0" distB="0" distL="0" distR="0" wp14:anchorId="44473E78" wp14:editId="7C345210">
            <wp:extent cx="3226" cy="3227"/>
            <wp:effectExtent l="0" t="0" r="0" b="0"/>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6"/>
                    <a:stretch>
                      <a:fillRect/>
                    </a:stretch>
                  </pic:blipFill>
                  <pic:spPr>
                    <a:xfrm>
                      <a:off x="0" y="0"/>
                      <a:ext cx="3226" cy="3227"/>
                    </a:xfrm>
                    <a:prstGeom prst="rect">
                      <a:avLst/>
                    </a:prstGeom>
                  </pic:spPr>
                </pic:pic>
              </a:graphicData>
            </a:graphic>
          </wp:inline>
        </w:drawing>
      </w:r>
    </w:p>
    <w:tbl>
      <w:tblPr>
        <w:tblStyle w:val="TableGrid"/>
        <w:tblW w:w="9384" w:type="dxa"/>
        <w:tblInd w:w="107" w:type="dxa"/>
        <w:tblCellMar>
          <w:top w:w="29" w:type="dxa"/>
          <w:left w:w="0" w:type="dxa"/>
          <w:bottom w:w="0" w:type="dxa"/>
          <w:right w:w="97" w:type="dxa"/>
        </w:tblCellMar>
        <w:tblLook w:val="04A0" w:firstRow="1" w:lastRow="0" w:firstColumn="1" w:lastColumn="0" w:noHBand="0" w:noVBand="1"/>
      </w:tblPr>
      <w:tblGrid>
        <w:gridCol w:w="2413"/>
        <w:gridCol w:w="1016"/>
        <w:gridCol w:w="1992"/>
        <w:gridCol w:w="1788"/>
        <w:gridCol w:w="1006"/>
        <w:gridCol w:w="1169"/>
      </w:tblGrid>
      <w:tr w:rsidR="00BA5D4A" w14:paraId="1FBB264D" w14:textId="77777777">
        <w:trPr>
          <w:trHeight w:val="285"/>
        </w:trPr>
        <w:tc>
          <w:tcPr>
            <w:tcW w:w="2413" w:type="dxa"/>
            <w:tcBorders>
              <w:top w:val="single" w:sz="2" w:space="0" w:color="000000"/>
              <w:left w:val="nil"/>
              <w:bottom w:val="single" w:sz="2" w:space="0" w:color="000000"/>
              <w:right w:val="nil"/>
            </w:tcBorders>
          </w:tcPr>
          <w:p w14:paraId="25E33A16" w14:textId="77777777" w:rsidR="00BA5D4A" w:rsidRDefault="00C3271F">
            <w:pPr>
              <w:spacing w:after="0"/>
              <w:ind w:left="20"/>
            </w:pPr>
            <w:r>
              <w:t>Mine Name</w:t>
            </w:r>
          </w:p>
        </w:tc>
        <w:tc>
          <w:tcPr>
            <w:tcW w:w="1016" w:type="dxa"/>
            <w:tcBorders>
              <w:top w:val="single" w:sz="2" w:space="0" w:color="000000"/>
              <w:left w:val="nil"/>
              <w:bottom w:val="single" w:sz="2" w:space="0" w:color="000000"/>
              <w:right w:val="nil"/>
            </w:tcBorders>
          </w:tcPr>
          <w:p w14:paraId="193822EE" w14:textId="77777777" w:rsidR="00BA5D4A" w:rsidRDefault="00C3271F">
            <w:pPr>
              <w:spacing w:after="0"/>
            </w:pPr>
            <w:r>
              <w:t>Mine ID</w:t>
            </w:r>
          </w:p>
        </w:tc>
        <w:tc>
          <w:tcPr>
            <w:tcW w:w="1992" w:type="dxa"/>
            <w:tcBorders>
              <w:top w:val="single" w:sz="2" w:space="0" w:color="000000"/>
              <w:left w:val="nil"/>
              <w:bottom w:val="single" w:sz="2" w:space="0" w:color="000000"/>
              <w:right w:val="nil"/>
            </w:tcBorders>
          </w:tcPr>
          <w:p w14:paraId="19A0BC23" w14:textId="77777777" w:rsidR="00BA5D4A" w:rsidRDefault="00C3271F">
            <w:pPr>
              <w:spacing w:after="0"/>
              <w:ind w:left="345"/>
            </w:pPr>
            <w:r>
              <w:rPr>
                <w:sz w:val="24"/>
              </w:rPr>
              <w:t>Operator</w:t>
            </w:r>
          </w:p>
        </w:tc>
        <w:tc>
          <w:tcPr>
            <w:tcW w:w="1788" w:type="dxa"/>
            <w:tcBorders>
              <w:top w:val="single" w:sz="2" w:space="0" w:color="000000"/>
              <w:left w:val="nil"/>
              <w:bottom w:val="single" w:sz="2" w:space="0" w:color="000000"/>
              <w:right w:val="nil"/>
            </w:tcBorders>
          </w:tcPr>
          <w:p w14:paraId="465E3C9E" w14:textId="77777777" w:rsidR="00BA5D4A" w:rsidRDefault="00C3271F">
            <w:pPr>
              <w:spacing w:after="0"/>
            </w:pPr>
            <w:r>
              <w:rPr>
                <w:sz w:val="24"/>
              </w:rPr>
              <w:t>Activity Type</w:t>
            </w:r>
          </w:p>
        </w:tc>
        <w:tc>
          <w:tcPr>
            <w:tcW w:w="1006" w:type="dxa"/>
            <w:tcBorders>
              <w:top w:val="single" w:sz="2" w:space="0" w:color="000000"/>
              <w:left w:val="nil"/>
              <w:bottom w:val="single" w:sz="2" w:space="0" w:color="000000"/>
              <w:right w:val="nil"/>
            </w:tcBorders>
          </w:tcPr>
          <w:p w14:paraId="28485231" w14:textId="77777777" w:rsidR="00BA5D4A" w:rsidRDefault="00C3271F">
            <w:pPr>
              <w:spacing w:after="0"/>
            </w:pPr>
            <w:r>
              <w:rPr>
                <w:sz w:val="24"/>
              </w:rPr>
              <w:t>Region</w:t>
            </w:r>
          </w:p>
        </w:tc>
        <w:tc>
          <w:tcPr>
            <w:tcW w:w="1169" w:type="dxa"/>
            <w:tcBorders>
              <w:top w:val="single" w:sz="2" w:space="0" w:color="000000"/>
              <w:left w:val="nil"/>
              <w:bottom w:val="single" w:sz="2" w:space="0" w:color="000000"/>
              <w:right w:val="nil"/>
            </w:tcBorders>
          </w:tcPr>
          <w:p w14:paraId="7985DEA4" w14:textId="77777777" w:rsidR="00BA5D4A" w:rsidRDefault="00C3271F">
            <w:pPr>
              <w:spacing w:after="0"/>
            </w:pPr>
            <w:r>
              <w:t>Activity Date</w:t>
            </w:r>
          </w:p>
        </w:tc>
      </w:tr>
      <w:tr w:rsidR="00BA5D4A" w14:paraId="3F21C85A" w14:textId="77777777">
        <w:trPr>
          <w:trHeight w:val="405"/>
        </w:trPr>
        <w:tc>
          <w:tcPr>
            <w:tcW w:w="2413" w:type="dxa"/>
            <w:tcBorders>
              <w:top w:val="single" w:sz="2" w:space="0" w:color="000000"/>
              <w:left w:val="nil"/>
              <w:bottom w:val="single" w:sz="2" w:space="0" w:color="000000"/>
              <w:right w:val="nil"/>
            </w:tcBorders>
          </w:tcPr>
          <w:p w14:paraId="69B92107" w14:textId="77777777" w:rsidR="00BA5D4A" w:rsidRDefault="00C3271F">
            <w:pPr>
              <w:spacing w:after="0"/>
              <w:ind w:left="15"/>
            </w:pPr>
            <w:r>
              <w:rPr>
                <w:sz w:val="18"/>
              </w:rPr>
              <w:t>Grosvenor Coal Mine</w:t>
            </w:r>
          </w:p>
        </w:tc>
        <w:tc>
          <w:tcPr>
            <w:tcW w:w="1016" w:type="dxa"/>
            <w:tcBorders>
              <w:top w:val="single" w:sz="2" w:space="0" w:color="000000"/>
              <w:left w:val="nil"/>
              <w:bottom w:val="single" w:sz="2" w:space="0" w:color="000000"/>
              <w:right w:val="nil"/>
            </w:tcBorders>
          </w:tcPr>
          <w:p w14:paraId="7E34E733" w14:textId="77777777" w:rsidR="00BA5D4A" w:rsidRDefault="00C3271F">
            <w:pPr>
              <w:spacing w:after="0"/>
              <w:ind w:left="36"/>
            </w:pPr>
            <w:r>
              <w:rPr>
                <w:sz w:val="16"/>
              </w:rPr>
              <w:t xml:space="preserve">M102976 </w:t>
            </w:r>
          </w:p>
        </w:tc>
        <w:tc>
          <w:tcPr>
            <w:tcW w:w="1992" w:type="dxa"/>
            <w:tcBorders>
              <w:top w:val="single" w:sz="2" w:space="0" w:color="000000"/>
              <w:left w:val="nil"/>
              <w:bottom w:val="single" w:sz="2" w:space="0" w:color="000000"/>
              <w:right w:val="nil"/>
            </w:tcBorders>
          </w:tcPr>
          <w:p w14:paraId="4E9691AD" w14:textId="77777777" w:rsidR="00BA5D4A" w:rsidRDefault="00C3271F">
            <w:pPr>
              <w:spacing w:after="0"/>
              <w:ind w:left="86"/>
              <w:jc w:val="center"/>
            </w:pPr>
            <w:r>
              <w:rPr>
                <w:sz w:val="18"/>
              </w:rPr>
              <w:t>Coal (Grosvenor</w:t>
            </w:r>
          </w:p>
          <w:p w14:paraId="015F8752" w14:textId="77777777" w:rsidR="00BA5D4A" w:rsidRDefault="00C3271F">
            <w:pPr>
              <w:spacing w:after="0"/>
            </w:pPr>
            <w:r>
              <w:rPr>
                <w:sz w:val="18"/>
              </w:rPr>
              <w:t>Management) Pty Ltd</w:t>
            </w:r>
          </w:p>
        </w:tc>
        <w:tc>
          <w:tcPr>
            <w:tcW w:w="1788" w:type="dxa"/>
            <w:tcBorders>
              <w:top w:val="single" w:sz="2" w:space="0" w:color="000000"/>
              <w:left w:val="nil"/>
              <w:bottom w:val="single" w:sz="2" w:space="0" w:color="000000"/>
              <w:right w:val="nil"/>
            </w:tcBorders>
          </w:tcPr>
          <w:p w14:paraId="48D716BA" w14:textId="77777777" w:rsidR="00BA5D4A" w:rsidRDefault="00C3271F">
            <w:pPr>
              <w:spacing w:after="0"/>
              <w:ind w:left="183"/>
            </w:pPr>
            <w:r>
              <w:rPr>
                <w:sz w:val="18"/>
              </w:rPr>
              <w:t>Site Meeting</w:t>
            </w:r>
          </w:p>
        </w:tc>
        <w:tc>
          <w:tcPr>
            <w:tcW w:w="1006" w:type="dxa"/>
            <w:tcBorders>
              <w:top w:val="single" w:sz="2" w:space="0" w:color="000000"/>
              <w:left w:val="nil"/>
              <w:bottom w:val="single" w:sz="2" w:space="0" w:color="000000"/>
              <w:right w:val="nil"/>
            </w:tcBorders>
          </w:tcPr>
          <w:p w14:paraId="7E8FB16A" w14:textId="77777777" w:rsidR="00BA5D4A" w:rsidRDefault="00C3271F">
            <w:pPr>
              <w:spacing w:after="0"/>
              <w:ind w:left="71"/>
            </w:pPr>
            <w:r>
              <w:rPr>
                <w:sz w:val="18"/>
              </w:rPr>
              <w:t>Central</w:t>
            </w:r>
          </w:p>
        </w:tc>
        <w:tc>
          <w:tcPr>
            <w:tcW w:w="1169" w:type="dxa"/>
            <w:tcBorders>
              <w:top w:val="single" w:sz="2" w:space="0" w:color="000000"/>
              <w:left w:val="nil"/>
              <w:bottom w:val="single" w:sz="2" w:space="0" w:color="000000"/>
              <w:right w:val="nil"/>
            </w:tcBorders>
          </w:tcPr>
          <w:p w14:paraId="69961EA0" w14:textId="77777777" w:rsidR="00BA5D4A" w:rsidRDefault="00C3271F">
            <w:pPr>
              <w:spacing w:after="0"/>
              <w:ind w:left="137"/>
            </w:pPr>
            <w:r>
              <w:rPr>
                <w:sz w:val="18"/>
              </w:rPr>
              <w:t>20/03/2017</w:t>
            </w:r>
          </w:p>
        </w:tc>
      </w:tr>
    </w:tbl>
    <w:p w14:paraId="0E0FF193" w14:textId="77777777" w:rsidR="00BA5D4A" w:rsidRDefault="00C3271F">
      <w:pPr>
        <w:spacing w:after="329"/>
        <w:ind w:left="218" w:hanging="10"/>
        <w:jc w:val="center"/>
      </w:pPr>
      <w:r>
        <w:rPr>
          <w:sz w:val="20"/>
        </w:rPr>
        <w:t>Vision: Our Industries Free of Safety and Health Incidents</w:t>
      </w:r>
    </w:p>
    <w:p w14:paraId="14B355D1" w14:textId="77777777" w:rsidR="00BA5D4A" w:rsidRDefault="00C3271F">
      <w:pPr>
        <w:pStyle w:val="Heading1"/>
      </w:pPr>
      <w:r>
        <w:t>Mine Record Entry</w:t>
      </w:r>
    </w:p>
    <w:p w14:paraId="3EEFFC5B" w14:textId="77777777" w:rsidR="00BA5D4A" w:rsidRDefault="00C3271F">
      <w:pPr>
        <w:spacing w:after="0"/>
        <w:ind w:left="157"/>
        <w:jc w:val="center"/>
      </w:pPr>
      <w:r>
        <w:rPr>
          <w:sz w:val="26"/>
        </w:rPr>
        <w:t>This report forms part of the Mine Record under s68 of the Coal Mining Safety and</w:t>
      </w:r>
    </w:p>
    <w:p w14:paraId="17B10933" w14:textId="77777777" w:rsidR="00BA5D4A" w:rsidRDefault="00C3271F">
      <w:pPr>
        <w:spacing w:after="112" w:line="216" w:lineRule="auto"/>
        <w:ind w:left="28" w:right="18" w:hanging="10"/>
        <w:jc w:val="center"/>
      </w:pPr>
      <w:r>
        <w:rPr>
          <w:sz w:val="28"/>
        </w:rPr>
        <w:t>Health Act 1999. It must be placed in the Mine Record and displayed on Safety Notice Boards*</w:t>
      </w:r>
    </w:p>
    <w:p w14:paraId="7DBAB0B5" w14:textId="77777777" w:rsidR="00BA5D4A" w:rsidRDefault="00C3271F">
      <w:pPr>
        <w:spacing w:after="553" w:line="216" w:lineRule="auto"/>
        <w:ind w:left="163" w:firstLine="102"/>
      </w:pPr>
      <w:r>
        <w:rPr>
          <w:sz w:val="28"/>
        </w:rPr>
        <w:t xml:space="preserve">Note that inspection or audit activities conducted by the Mines Inspectorate are based </w:t>
      </w:r>
      <w:r>
        <w:rPr>
          <w:sz w:val="28"/>
        </w:rPr>
        <w:t xml:space="preserve">upon sample techniques. It remains the primary responsibility of Mine Personnel to </w:t>
      </w:r>
      <w:r>
        <w:rPr>
          <w:sz w:val="28"/>
        </w:rPr>
        <w:t>identify hazards, and risks associated with Operations and ensure those risks are at a</w:t>
      </w:r>
      <w:r>
        <w:rPr>
          <w:sz w:val="28"/>
        </w:rPr>
        <w:t>n acceptable level,</w:t>
      </w:r>
    </w:p>
    <w:p w14:paraId="7E19FF05" w14:textId="77777777" w:rsidR="00BA5D4A" w:rsidRDefault="00C3271F">
      <w:pPr>
        <w:spacing w:after="91" w:line="216" w:lineRule="auto"/>
        <w:ind w:left="97" w:right="178" w:firstLine="5"/>
        <w:jc w:val="both"/>
      </w:pPr>
      <w:r>
        <w:rPr>
          <w:sz w:val="26"/>
        </w:rPr>
        <w:t xml:space="preserve">Today Monday 20 March, a meeting was held at Grosvenor Coal Mine. In attendance were Compliance Managers Mr Les Marlborough, Mr </w:t>
      </w:r>
      <w:proofErr w:type="spellStart"/>
      <w:r>
        <w:rPr>
          <w:sz w:val="26"/>
        </w:rPr>
        <w:t>Cec</w:t>
      </w:r>
      <w:proofErr w:type="spellEnd"/>
      <w:r>
        <w:rPr>
          <w:sz w:val="26"/>
        </w:rPr>
        <w:t xml:space="preserve"> </w:t>
      </w:r>
      <w:proofErr w:type="gramStart"/>
      <w:r>
        <w:rPr>
          <w:sz w:val="26"/>
        </w:rPr>
        <w:t>Ivers</w:t>
      </w:r>
      <w:proofErr w:type="gramEnd"/>
      <w:r>
        <w:rPr>
          <w:sz w:val="26"/>
        </w:rPr>
        <w:t xml:space="preserve"> and Inspector of </w:t>
      </w:r>
      <w:r>
        <w:rPr>
          <w:noProof/>
        </w:rPr>
        <w:drawing>
          <wp:inline distT="0" distB="0" distL="0" distR="0" wp14:anchorId="7E3D3329" wp14:editId="0CE095C6">
            <wp:extent cx="6452" cy="3227"/>
            <wp:effectExtent l="0" t="0" r="0" b="0"/>
            <wp:docPr id="3040" name="Picture 3040"/>
            <wp:cNvGraphicFramePr/>
            <a:graphic xmlns:a="http://schemas.openxmlformats.org/drawingml/2006/main">
              <a:graphicData uri="http://schemas.openxmlformats.org/drawingml/2006/picture">
                <pic:pic xmlns:pic="http://schemas.openxmlformats.org/drawingml/2006/picture">
                  <pic:nvPicPr>
                    <pic:cNvPr id="3040" name="Picture 3040"/>
                    <pic:cNvPicPr/>
                  </pic:nvPicPr>
                  <pic:blipFill>
                    <a:blip r:embed="rId5"/>
                    <a:stretch>
                      <a:fillRect/>
                    </a:stretch>
                  </pic:blipFill>
                  <pic:spPr>
                    <a:xfrm>
                      <a:off x="0" y="0"/>
                      <a:ext cx="6452" cy="3227"/>
                    </a:xfrm>
                    <a:prstGeom prst="rect">
                      <a:avLst/>
                    </a:prstGeom>
                  </pic:spPr>
                </pic:pic>
              </a:graphicData>
            </a:graphic>
          </wp:inline>
        </w:drawing>
      </w:r>
      <w:r>
        <w:rPr>
          <w:sz w:val="26"/>
        </w:rPr>
        <w:t>Mines Paul Brown.</w:t>
      </w:r>
    </w:p>
    <w:p w14:paraId="465958FA" w14:textId="77777777" w:rsidR="00BA5D4A" w:rsidRDefault="00C3271F">
      <w:pPr>
        <w:spacing w:after="36" w:line="217" w:lineRule="auto"/>
        <w:ind w:left="112" w:right="81"/>
      </w:pPr>
      <w:r>
        <w:rPr>
          <w:sz w:val="26"/>
        </w:rPr>
        <w:t xml:space="preserve">The purpose of the meeting was to discuss the </w:t>
      </w:r>
      <w:proofErr w:type="spellStart"/>
      <w:r>
        <w:rPr>
          <w:sz w:val="26"/>
        </w:rPr>
        <w:t>shotfiring</w:t>
      </w:r>
      <w:proofErr w:type="spellEnd"/>
      <w:r>
        <w:rPr>
          <w:sz w:val="26"/>
        </w:rPr>
        <w:t xml:space="preserve"> incid</w:t>
      </w:r>
      <w:r>
        <w:rPr>
          <w:sz w:val="26"/>
        </w:rPr>
        <w:t>ent that took place on the 3/02/17. The context of the meeting involved discussing Investigation material supplied to the DNRM by the SSE Mr Garde.</w:t>
      </w:r>
    </w:p>
    <w:p w14:paraId="6CB759E4" w14:textId="77777777" w:rsidR="00BA5D4A" w:rsidRDefault="00C3271F">
      <w:pPr>
        <w:spacing w:after="118" w:line="216" w:lineRule="auto"/>
        <w:ind w:left="97" w:right="71" w:firstLine="5"/>
        <w:jc w:val="both"/>
      </w:pPr>
      <w:r>
        <w:rPr>
          <w:sz w:val="26"/>
        </w:rPr>
        <w:t>Standard Operating Procedure - While there were matters identified what could be improved in the current SOP</w:t>
      </w:r>
      <w:r>
        <w:rPr>
          <w:sz w:val="26"/>
        </w:rPr>
        <w:t>, if the procedure had been followed diligently as it was, the incident could have been prevented. There is however justification to conduct a review of the SOP and underpinning WRAC. The SOP has references to P3 and P5 type explosives as one example of in</w:t>
      </w:r>
      <w:r>
        <w:rPr>
          <w:sz w:val="26"/>
        </w:rPr>
        <w:t xml:space="preserve">formation to review. It is recommended as part of this review to map the requirements of the Coal Mine Regulations 2001 QGNI 1 </w:t>
      </w:r>
      <w:proofErr w:type="spellStart"/>
      <w:r>
        <w:rPr>
          <w:sz w:val="26"/>
        </w:rPr>
        <w:t>Handhng</w:t>
      </w:r>
      <w:proofErr w:type="spellEnd"/>
      <w:r>
        <w:rPr>
          <w:sz w:val="26"/>
        </w:rPr>
        <w:t xml:space="preserve"> Explosives in Underground Mines, the Explosives Regulations 2003, Explosives Act </w:t>
      </w:r>
      <w:proofErr w:type="gramStart"/>
      <w:r>
        <w:rPr>
          <w:sz w:val="26"/>
        </w:rPr>
        <w:t>1999</w:t>
      </w:r>
      <w:proofErr w:type="gramEnd"/>
      <w:r>
        <w:rPr>
          <w:sz w:val="26"/>
        </w:rPr>
        <w:t xml:space="preserve"> and the Australian Standards 2187.1</w:t>
      </w:r>
      <w:r>
        <w:rPr>
          <w:sz w:val="26"/>
        </w:rPr>
        <w:t xml:space="preserve"> &amp; .2.</w:t>
      </w:r>
    </w:p>
    <w:p w14:paraId="51006F52" w14:textId="77777777" w:rsidR="00BA5D4A" w:rsidRDefault="00C3271F">
      <w:pPr>
        <w:spacing w:after="185" w:line="253" w:lineRule="auto"/>
        <w:ind w:left="46" w:hanging="10"/>
      </w:pPr>
      <w:r>
        <w:rPr>
          <w:sz w:val="28"/>
        </w:rPr>
        <w:t xml:space="preserve">The current Underground </w:t>
      </w:r>
      <w:proofErr w:type="spellStart"/>
      <w:r>
        <w:rPr>
          <w:sz w:val="28"/>
        </w:rPr>
        <w:t>Shotfiring</w:t>
      </w:r>
      <w:proofErr w:type="spellEnd"/>
      <w:r>
        <w:rPr>
          <w:sz w:val="28"/>
        </w:rPr>
        <w:t xml:space="preserve"> Permit form - Lacks detail for scope, this is an area for improvement. Working examples from other mines were viewed and </w:t>
      </w:r>
      <w:r>
        <w:rPr>
          <w:sz w:val="28"/>
        </w:rPr>
        <w:t>discussed.</w:t>
      </w:r>
    </w:p>
    <w:p w14:paraId="18BB816C" w14:textId="77777777" w:rsidR="00BA5D4A" w:rsidRDefault="00C3271F">
      <w:pPr>
        <w:spacing w:after="119" w:line="217" w:lineRule="auto"/>
        <w:ind w:left="102" w:right="81"/>
      </w:pPr>
      <w:r>
        <w:rPr>
          <w:sz w:val="26"/>
        </w:rPr>
        <w:t>The JSA for Popping Rocks on LWIOI - There is no date entered onto the JSA, the Ou</w:t>
      </w:r>
      <w:r>
        <w:rPr>
          <w:sz w:val="26"/>
        </w:rPr>
        <w:t>tbye ERZ Controller and Shotfirer on the day of the Incident had not signed or indicated a review was conducted of the JSA. The JSA should reflect the individual task being undertaken, there is no indication this was considered. Access to the TG was not id</w:t>
      </w:r>
      <w:r>
        <w:rPr>
          <w:sz w:val="26"/>
        </w:rPr>
        <w:t xml:space="preserve">entified. Blast fumes are not identified as a hazard* Use of Sentries not identified, again as discussed if the SOP had been followed to control access, use of </w:t>
      </w:r>
      <w:proofErr w:type="gramStart"/>
      <w:r>
        <w:rPr>
          <w:sz w:val="26"/>
        </w:rPr>
        <w:t>Sentries</w:t>
      </w:r>
      <w:proofErr w:type="gramEnd"/>
      <w:r>
        <w:rPr>
          <w:sz w:val="26"/>
        </w:rPr>
        <w:t xml:space="preserve"> and conduct communication it could have been prevented.</w:t>
      </w:r>
    </w:p>
    <w:p w14:paraId="6C60BD89" w14:textId="77777777" w:rsidR="00BA5D4A" w:rsidRDefault="00C3271F">
      <w:pPr>
        <w:spacing w:after="660" w:line="217" w:lineRule="auto"/>
        <w:ind w:left="107" w:right="81"/>
      </w:pPr>
      <w:r>
        <w:rPr>
          <w:sz w:val="26"/>
        </w:rPr>
        <w:lastRenderedPageBreak/>
        <w:t xml:space="preserve">SWI for </w:t>
      </w:r>
      <w:proofErr w:type="spellStart"/>
      <w:r>
        <w:rPr>
          <w:sz w:val="26"/>
        </w:rPr>
        <w:t>Shotfiring</w:t>
      </w:r>
      <w:proofErr w:type="spellEnd"/>
      <w:r>
        <w:rPr>
          <w:sz w:val="26"/>
        </w:rPr>
        <w:t xml:space="preserve"> on the Longw</w:t>
      </w:r>
      <w:r>
        <w:rPr>
          <w:sz w:val="26"/>
        </w:rPr>
        <w:t xml:space="preserve">all - A number of items were discussed, section 3 demonstrates the use of a Panther drill slung by a chain block, this is not a safe system for drilling as the drill unit is not designed to be suspended and does not have lifting points, Panther steels can </w:t>
      </w:r>
      <w:r>
        <w:rPr>
          <w:sz w:val="26"/>
        </w:rPr>
        <w:t xml:space="preserve">be ordered at different lengths starting at 300mm, </w:t>
      </w:r>
      <w:proofErr w:type="gramStart"/>
      <w:r>
        <w:rPr>
          <w:sz w:val="26"/>
        </w:rPr>
        <w:t>it</w:t>
      </w:r>
      <w:proofErr w:type="gramEnd"/>
    </w:p>
    <w:p w14:paraId="56541E8A" w14:textId="77777777" w:rsidR="00BA5D4A" w:rsidRDefault="00C3271F">
      <w:pPr>
        <w:tabs>
          <w:tab w:val="center" w:pos="4628"/>
          <w:tab w:val="center" w:pos="8741"/>
        </w:tabs>
        <w:spacing w:after="3"/>
      </w:pPr>
      <w:r>
        <w:rPr>
          <w:sz w:val="18"/>
        </w:rPr>
        <w:t>24/03/2017</w:t>
      </w:r>
      <w:r>
        <w:rPr>
          <w:sz w:val="18"/>
        </w:rPr>
        <w:tab/>
      </w:r>
      <w:r>
        <w:rPr>
          <w:sz w:val="18"/>
        </w:rPr>
        <w:t>Mine Record Entry</w:t>
      </w:r>
      <w:r>
        <w:rPr>
          <w:sz w:val="18"/>
        </w:rPr>
        <w:tab/>
        <w:t>Page 1 of 2</w:t>
      </w:r>
    </w:p>
    <w:p w14:paraId="74247204" w14:textId="77777777" w:rsidR="00BA5D4A" w:rsidRDefault="00C3271F">
      <w:pPr>
        <w:spacing w:after="119" w:line="217" w:lineRule="auto"/>
        <w:ind w:left="21" w:right="81"/>
      </w:pPr>
      <w:r>
        <w:rPr>
          <w:sz w:val="26"/>
        </w:rPr>
        <w:t>is recommended to maintain fit for purpose drill steels and review the SWI on this matter.</w:t>
      </w:r>
    </w:p>
    <w:p w14:paraId="3536F425" w14:textId="77777777" w:rsidR="00BA5D4A" w:rsidRDefault="00C3271F">
      <w:pPr>
        <w:spacing w:after="119" w:line="217" w:lineRule="auto"/>
        <w:ind w:left="21" w:right="81"/>
      </w:pPr>
      <w:r>
        <w:rPr>
          <w:sz w:val="26"/>
        </w:rPr>
        <w:t>Section 6 of the SWI, this section identifies an electric detonator on</w:t>
      </w:r>
      <w:r>
        <w:rPr>
          <w:sz w:val="26"/>
        </w:rPr>
        <w:t xml:space="preserve">ly half inserted into a chub of </w:t>
      </w:r>
      <w:proofErr w:type="spellStart"/>
      <w:r>
        <w:rPr>
          <w:sz w:val="26"/>
        </w:rPr>
        <w:t>Senatel</w:t>
      </w:r>
      <w:proofErr w:type="spellEnd"/>
      <w:r>
        <w:rPr>
          <w:sz w:val="26"/>
        </w:rPr>
        <w:t>, the detonator is taped in place. This does not represent the safe method of inserting an Electronic Detonator recommended by the OEM Orica. There is risk of causing a premature ignition by impact damage / crimping w</w:t>
      </w:r>
      <w:r>
        <w:rPr>
          <w:sz w:val="26"/>
        </w:rPr>
        <w:t>hen tamped into a hole or, at the least, possibly cause misfire by less than adequate amount of detonator within the chub of explosive. Mr Ivers agreed the SWI is incorrect and must be reviewed.</w:t>
      </w:r>
    </w:p>
    <w:p w14:paraId="1841107A" w14:textId="77777777" w:rsidR="00BA5D4A" w:rsidRDefault="00C3271F">
      <w:pPr>
        <w:spacing w:after="692" w:line="217" w:lineRule="auto"/>
        <w:ind w:left="21" w:right="81"/>
      </w:pPr>
      <w:r>
        <w:rPr>
          <w:sz w:val="26"/>
        </w:rPr>
        <w:t>ICAM - The ICAM investigation IN. 160558 was discussed, there</w:t>
      </w:r>
      <w:r>
        <w:rPr>
          <w:sz w:val="26"/>
        </w:rPr>
        <w:t xml:space="preserve"> were </w:t>
      </w:r>
      <w:proofErr w:type="gramStart"/>
      <w:r>
        <w:rPr>
          <w:sz w:val="26"/>
        </w:rPr>
        <w:t>a number of</w:t>
      </w:r>
      <w:proofErr w:type="gramEnd"/>
      <w:r>
        <w:rPr>
          <w:sz w:val="26"/>
        </w:rPr>
        <w:t xml:space="preserve"> items requiring review due to lack of detail or inappropriate actions recommended. Inspector Brown recommended a review of the ICAM to ensure an acceptable level of risk is achieved.</w:t>
      </w:r>
    </w:p>
    <w:tbl>
      <w:tblPr>
        <w:tblStyle w:val="TableGrid"/>
        <w:tblW w:w="9048" w:type="dxa"/>
        <w:tblInd w:w="173" w:type="dxa"/>
        <w:tblCellMar>
          <w:top w:w="0" w:type="dxa"/>
          <w:left w:w="0" w:type="dxa"/>
          <w:bottom w:w="0" w:type="dxa"/>
          <w:right w:w="0" w:type="dxa"/>
        </w:tblCellMar>
        <w:tblLook w:val="04A0" w:firstRow="1" w:lastRow="0" w:firstColumn="1" w:lastColumn="0" w:noHBand="0" w:noVBand="1"/>
      </w:tblPr>
      <w:tblGrid>
        <w:gridCol w:w="1092"/>
        <w:gridCol w:w="1986"/>
        <w:gridCol w:w="3033"/>
        <w:gridCol w:w="2937"/>
      </w:tblGrid>
      <w:tr w:rsidR="00BA5D4A" w14:paraId="51AB83AE" w14:textId="77777777">
        <w:trPr>
          <w:trHeight w:val="357"/>
        </w:trPr>
        <w:tc>
          <w:tcPr>
            <w:tcW w:w="1092" w:type="dxa"/>
            <w:tcBorders>
              <w:top w:val="nil"/>
              <w:left w:val="nil"/>
              <w:bottom w:val="nil"/>
              <w:right w:val="nil"/>
            </w:tcBorders>
          </w:tcPr>
          <w:p w14:paraId="1321D46A" w14:textId="77777777" w:rsidR="00BA5D4A" w:rsidRDefault="00C3271F">
            <w:pPr>
              <w:spacing w:after="0"/>
            </w:pPr>
            <w:r>
              <w:rPr>
                <w:sz w:val="26"/>
                <w:u w:val="single" w:color="000000"/>
              </w:rPr>
              <w:t>Number</w:t>
            </w:r>
          </w:p>
        </w:tc>
        <w:tc>
          <w:tcPr>
            <w:tcW w:w="1986" w:type="dxa"/>
            <w:tcBorders>
              <w:top w:val="nil"/>
              <w:left w:val="nil"/>
              <w:bottom w:val="nil"/>
              <w:right w:val="nil"/>
            </w:tcBorders>
          </w:tcPr>
          <w:p w14:paraId="13DEB3E9" w14:textId="77777777" w:rsidR="00BA5D4A" w:rsidRDefault="00BA5D4A"/>
        </w:tc>
        <w:tc>
          <w:tcPr>
            <w:tcW w:w="3033" w:type="dxa"/>
            <w:tcBorders>
              <w:top w:val="nil"/>
              <w:left w:val="nil"/>
              <w:bottom w:val="nil"/>
              <w:right w:val="nil"/>
            </w:tcBorders>
          </w:tcPr>
          <w:p w14:paraId="61A8BD78" w14:textId="77777777" w:rsidR="00BA5D4A" w:rsidRDefault="00C3271F">
            <w:pPr>
              <w:spacing w:after="0"/>
              <w:ind w:left="478"/>
            </w:pPr>
            <w:r>
              <w:rPr>
                <w:sz w:val="26"/>
                <w:u w:val="single" w:color="000000"/>
              </w:rPr>
              <w:t>Recommendation</w:t>
            </w:r>
          </w:p>
        </w:tc>
        <w:tc>
          <w:tcPr>
            <w:tcW w:w="2937" w:type="dxa"/>
            <w:tcBorders>
              <w:top w:val="nil"/>
              <w:left w:val="nil"/>
              <w:bottom w:val="nil"/>
              <w:right w:val="nil"/>
            </w:tcBorders>
          </w:tcPr>
          <w:p w14:paraId="21799DE8" w14:textId="77777777" w:rsidR="00BA5D4A" w:rsidRDefault="00C3271F">
            <w:pPr>
              <w:spacing w:after="0"/>
              <w:jc w:val="right"/>
            </w:pPr>
            <w:r>
              <w:rPr>
                <w:sz w:val="26"/>
                <w:u w:val="single" w:color="000000"/>
              </w:rPr>
              <w:t>Due Date</w:t>
            </w:r>
          </w:p>
        </w:tc>
      </w:tr>
      <w:tr w:rsidR="00BA5D4A" w14:paraId="3920D1F5" w14:textId="77777777">
        <w:trPr>
          <w:trHeight w:val="334"/>
        </w:trPr>
        <w:tc>
          <w:tcPr>
            <w:tcW w:w="1092" w:type="dxa"/>
            <w:tcBorders>
              <w:top w:val="nil"/>
              <w:left w:val="nil"/>
              <w:bottom w:val="nil"/>
              <w:right w:val="nil"/>
            </w:tcBorders>
          </w:tcPr>
          <w:p w14:paraId="3BE77F1B" w14:textId="77777777" w:rsidR="00BA5D4A" w:rsidRDefault="00C3271F">
            <w:pPr>
              <w:spacing w:after="0"/>
              <w:ind w:left="371"/>
            </w:pPr>
            <w:r>
              <w:rPr>
                <w:sz w:val="30"/>
              </w:rPr>
              <w:t>1</w:t>
            </w:r>
          </w:p>
        </w:tc>
        <w:tc>
          <w:tcPr>
            <w:tcW w:w="1986" w:type="dxa"/>
            <w:tcBorders>
              <w:top w:val="nil"/>
              <w:left w:val="nil"/>
              <w:bottom w:val="nil"/>
              <w:right w:val="nil"/>
            </w:tcBorders>
            <w:vAlign w:val="bottom"/>
          </w:tcPr>
          <w:p w14:paraId="3B0400EE" w14:textId="77777777" w:rsidR="00BA5D4A" w:rsidRDefault="00C3271F">
            <w:pPr>
              <w:spacing w:after="0"/>
            </w:pPr>
            <w:r>
              <w:rPr>
                <w:sz w:val="28"/>
              </w:rPr>
              <w:t>Explosives</w:t>
            </w:r>
          </w:p>
        </w:tc>
        <w:tc>
          <w:tcPr>
            <w:tcW w:w="3033" w:type="dxa"/>
            <w:tcBorders>
              <w:top w:val="nil"/>
              <w:left w:val="nil"/>
              <w:bottom w:val="nil"/>
              <w:right w:val="nil"/>
            </w:tcBorders>
          </w:tcPr>
          <w:p w14:paraId="23A4874D" w14:textId="77777777" w:rsidR="00BA5D4A" w:rsidRDefault="00BA5D4A"/>
        </w:tc>
        <w:tc>
          <w:tcPr>
            <w:tcW w:w="2937" w:type="dxa"/>
            <w:tcBorders>
              <w:top w:val="nil"/>
              <w:left w:val="nil"/>
              <w:bottom w:val="nil"/>
              <w:right w:val="nil"/>
            </w:tcBorders>
          </w:tcPr>
          <w:p w14:paraId="79E74A78" w14:textId="77777777" w:rsidR="00BA5D4A" w:rsidRDefault="00C3271F">
            <w:pPr>
              <w:spacing w:after="0"/>
              <w:ind w:right="279"/>
              <w:jc w:val="right"/>
            </w:pPr>
            <w:r>
              <w:rPr>
                <w:sz w:val="20"/>
              </w:rPr>
              <w:t>NIA</w:t>
            </w:r>
          </w:p>
        </w:tc>
      </w:tr>
    </w:tbl>
    <w:p w14:paraId="3B23814A" w14:textId="77777777" w:rsidR="00BA5D4A" w:rsidRDefault="00C3271F">
      <w:pPr>
        <w:spacing w:after="0" w:line="265" w:lineRule="auto"/>
        <w:ind w:left="10" w:hanging="5"/>
        <w:jc w:val="both"/>
      </w:pPr>
      <w:r>
        <w:rPr>
          <w:sz w:val="24"/>
        </w:rPr>
        <w:t>As an outcome of a site meeting and details within the attached MREI the SSE is recommended to review the following documents</w:t>
      </w:r>
    </w:p>
    <w:p w14:paraId="5C23D331" w14:textId="77777777" w:rsidR="00BA5D4A" w:rsidRDefault="00C3271F">
      <w:pPr>
        <w:numPr>
          <w:ilvl w:val="0"/>
          <w:numId w:val="1"/>
        </w:numPr>
        <w:spacing w:after="0" w:line="265" w:lineRule="auto"/>
        <w:ind w:hanging="244"/>
        <w:jc w:val="both"/>
      </w:pPr>
      <w:r>
        <w:rPr>
          <w:sz w:val="24"/>
        </w:rPr>
        <w:t xml:space="preserve">, The ICAM Incident Investigation Report (Incident number 160558), report date 26/02/171 incident date 3/02/17 for Procedural </w:t>
      </w:r>
      <w:proofErr w:type="spellStart"/>
      <w:proofErr w:type="gramStart"/>
      <w:r>
        <w:rPr>
          <w:sz w:val="24"/>
        </w:rPr>
        <w:t xml:space="preserve">non </w:t>
      </w:r>
      <w:r>
        <w:rPr>
          <w:sz w:val="24"/>
        </w:rPr>
        <w:t>compliance</w:t>
      </w:r>
      <w:proofErr w:type="spellEnd"/>
      <w:proofErr w:type="gramEnd"/>
      <w:r>
        <w:rPr>
          <w:sz w:val="24"/>
        </w:rPr>
        <w:t xml:space="preserve"> during </w:t>
      </w:r>
      <w:proofErr w:type="spellStart"/>
      <w:r>
        <w:rPr>
          <w:sz w:val="24"/>
        </w:rPr>
        <w:t>shotfiring</w:t>
      </w:r>
      <w:proofErr w:type="spellEnd"/>
      <w:r>
        <w:rPr>
          <w:sz w:val="24"/>
        </w:rPr>
        <w:t xml:space="preserve"> activities.</w:t>
      </w:r>
    </w:p>
    <w:p w14:paraId="6569DA70" w14:textId="77777777" w:rsidR="00BA5D4A" w:rsidRDefault="00C3271F">
      <w:pPr>
        <w:numPr>
          <w:ilvl w:val="0"/>
          <w:numId w:val="1"/>
        </w:numPr>
        <w:spacing w:after="0" w:line="265" w:lineRule="auto"/>
        <w:ind w:hanging="244"/>
        <w:jc w:val="both"/>
      </w:pPr>
      <w:r>
        <w:rPr>
          <w:sz w:val="24"/>
        </w:rPr>
        <w:t>The underpinning WRAC for SOP 221, referenced in the CMS&amp;HR 2001, regulation 203.</w:t>
      </w:r>
    </w:p>
    <w:p w14:paraId="28EDDA26" w14:textId="77777777" w:rsidR="00BA5D4A" w:rsidRDefault="00C3271F">
      <w:pPr>
        <w:numPr>
          <w:ilvl w:val="0"/>
          <w:numId w:val="2"/>
        </w:numPr>
        <w:spacing w:after="0" w:line="265" w:lineRule="auto"/>
        <w:ind w:hanging="254"/>
        <w:jc w:val="both"/>
      </w:pPr>
      <w:r>
        <w:rPr>
          <w:sz w:val="24"/>
        </w:rPr>
        <w:t>The Standard Operating Procedure referenced in the CMS&amp;HR 2001, regulation 221.</w:t>
      </w:r>
    </w:p>
    <w:p w14:paraId="47D6A704" w14:textId="77777777" w:rsidR="00BA5D4A" w:rsidRDefault="00C3271F">
      <w:pPr>
        <w:numPr>
          <w:ilvl w:val="0"/>
          <w:numId w:val="2"/>
        </w:numPr>
        <w:spacing w:after="0" w:line="265" w:lineRule="auto"/>
        <w:ind w:hanging="254"/>
        <w:jc w:val="both"/>
      </w:pPr>
      <w:r>
        <w:rPr>
          <w:sz w:val="24"/>
        </w:rPr>
        <w:t>The Standard Work instruction (SWI) for GRO-8809-SWI-</w:t>
      </w:r>
      <w:r>
        <w:rPr>
          <w:sz w:val="24"/>
        </w:rPr>
        <w:t xml:space="preserve">Sh0tfiring on the Longwall, </w:t>
      </w:r>
      <w:proofErr w:type="gramStart"/>
      <w:r>
        <w:rPr>
          <w:sz w:val="24"/>
        </w:rPr>
        <w:t>VI .</w:t>
      </w:r>
      <w:proofErr w:type="gramEnd"/>
    </w:p>
    <w:p w14:paraId="10D21BAC" w14:textId="77777777" w:rsidR="00BA5D4A" w:rsidRDefault="00C3271F">
      <w:pPr>
        <w:numPr>
          <w:ilvl w:val="0"/>
          <w:numId w:val="2"/>
        </w:numPr>
        <w:spacing w:after="146" w:line="265" w:lineRule="auto"/>
        <w:ind w:hanging="254"/>
        <w:jc w:val="both"/>
      </w:pPr>
      <w:r>
        <w:rPr>
          <w:sz w:val="24"/>
        </w:rPr>
        <w:t xml:space="preserve">The mines Permit to </w:t>
      </w:r>
      <w:proofErr w:type="spellStart"/>
      <w:r>
        <w:rPr>
          <w:sz w:val="24"/>
        </w:rPr>
        <w:t>Shotfire</w:t>
      </w:r>
      <w:proofErr w:type="spellEnd"/>
      <w:r>
        <w:rPr>
          <w:sz w:val="24"/>
        </w:rPr>
        <w:t xml:space="preserve"> system, (this is linked to the SOP).</w:t>
      </w:r>
    </w:p>
    <w:p w14:paraId="677C5971" w14:textId="77777777" w:rsidR="00BA5D4A" w:rsidRDefault="00C3271F">
      <w:pPr>
        <w:spacing w:after="110" w:line="265" w:lineRule="auto"/>
        <w:ind w:left="10" w:right="300" w:hanging="5"/>
        <w:jc w:val="both"/>
      </w:pPr>
      <w:r>
        <w:rPr>
          <w:sz w:val="24"/>
        </w:rPr>
        <w:t>The SSE is required to give a response to the recommendation by close of business 7/04/1 7, the response should include references to each line item with act</w:t>
      </w:r>
      <w:r>
        <w:rPr>
          <w:sz w:val="24"/>
        </w:rPr>
        <w:t xml:space="preserve">ion plan timeline where </w:t>
      </w:r>
      <w:proofErr w:type="spellStart"/>
      <w:r>
        <w:rPr>
          <w:sz w:val="24"/>
        </w:rPr>
        <w:t>applicabEe</w:t>
      </w:r>
      <w:proofErr w:type="spellEnd"/>
      <w:r>
        <w:rPr>
          <w:sz w:val="24"/>
        </w:rPr>
        <w:t>.</w:t>
      </w:r>
    </w:p>
    <w:p w14:paraId="28803A97" w14:textId="77777777" w:rsidR="00BA5D4A" w:rsidRDefault="00C3271F">
      <w:pPr>
        <w:spacing w:after="0" w:line="216" w:lineRule="auto"/>
        <w:jc w:val="center"/>
      </w:pPr>
      <w:r>
        <w:rPr>
          <w:sz w:val="26"/>
        </w:rPr>
        <w:t xml:space="preserve">Please provide a written status report on each SCP together with the actions taken to address each item by their due </w:t>
      </w:r>
      <w:proofErr w:type="gramStart"/>
      <w:r>
        <w:rPr>
          <w:sz w:val="26"/>
        </w:rPr>
        <w:t>dates</w:t>
      </w:r>
      <w:proofErr w:type="gramEnd"/>
    </w:p>
    <w:p w14:paraId="5A5473F8" w14:textId="77777777" w:rsidR="00BA5D4A" w:rsidRDefault="00C3271F">
      <w:pPr>
        <w:spacing w:after="0" w:line="216" w:lineRule="auto"/>
        <w:ind w:left="28" w:right="13" w:hanging="10"/>
        <w:jc w:val="center"/>
      </w:pPr>
      <w:r>
        <w:rPr>
          <w:sz w:val="28"/>
        </w:rPr>
        <w:t xml:space="preserve">Please provide a written status report on each Directive together with the actions taken </w:t>
      </w:r>
      <w:r>
        <w:rPr>
          <w:sz w:val="28"/>
        </w:rPr>
        <w:t xml:space="preserve">to address each item by their due </w:t>
      </w:r>
      <w:proofErr w:type="gramStart"/>
      <w:r>
        <w:rPr>
          <w:sz w:val="28"/>
        </w:rPr>
        <w:t>dates</w:t>
      </w:r>
      <w:proofErr w:type="gramEnd"/>
    </w:p>
    <w:p w14:paraId="74F1C503" w14:textId="77777777" w:rsidR="00BA5D4A" w:rsidRDefault="00C3271F">
      <w:pPr>
        <w:spacing w:after="151" w:line="216" w:lineRule="auto"/>
        <w:ind w:left="28" w:right="18" w:hanging="10"/>
        <w:jc w:val="center"/>
      </w:pPr>
      <w:r>
        <w:rPr>
          <w:sz w:val="28"/>
        </w:rPr>
        <w:t xml:space="preserve">Please provide a written status report on each Directive and SCP together with the </w:t>
      </w:r>
      <w:r>
        <w:rPr>
          <w:sz w:val="28"/>
        </w:rPr>
        <w:t xml:space="preserve">actions taken to address each item by their </w:t>
      </w:r>
      <w:r>
        <w:rPr>
          <w:sz w:val="28"/>
        </w:rPr>
        <w:t xml:space="preserve">due </w:t>
      </w:r>
      <w:proofErr w:type="gramStart"/>
      <w:r>
        <w:rPr>
          <w:sz w:val="28"/>
        </w:rPr>
        <w:t>dates</w:t>
      </w:r>
      <w:proofErr w:type="gramEnd"/>
    </w:p>
    <w:p w14:paraId="7A1FEEB6" w14:textId="77777777" w:rsidR="00BA5D4A" w:rsidRDefault="00C3271F">
      <w:pPr>
        <w:spacing w:after="86"/>
        <w:ind w:left="112"/>
      </w:pPr>
      <w:r>
        <w:rPr>
          <w:noProof/>
        </w:rPr>
        <w:drawing>
          <wp:inline distT="0" distB="0" distL="0" distR="0" wp14:anchorId="1EDE735F" wp14:editId="56FCBDF4">
            <wp:extent cx="842024" cy="480806"/>
            <wp:effectExtent l="0" t="0" r="0" b="0"/>
            <wp:docPr id="5698" name="Picture 5698"/>
            <wp:cNvGraphicFramePr/>
            <a:graphic xmlns:a="http://schemas.openxmlformats.org/drawingml/2006/main">
              <a:graphicData uri="http://schemas.openxmlformats.org/drawingml/2006/picture">
                <pic:pic xmlns:pic="http://schemas.openxmlformats.org/drawingml/2006/picture">
                  <pic:nvPicPr>
                    <pic:cNvPr id="5698" name="Picture 5698"/>
                    <pic:cNvPicPr/>
                  </pic:nvPicPr>
                  <pic:blipFill>
                    <a:blip r:embed="rId7"/>
                    <a:stretch>
                      <a:fillRect/>
                    </a:stretch>
                  </pic:blipFill>
                  <pic:spPr>
                    <a:xfrm>
                      <a:off x="0" y="0"/>
                      <a:ext cx="842024" cy="480806"/>
                    </a:xfrm>
                    <a:prstGeom prst="rect">
                      <a:avLst/>
                    </a:prstGeom>
                  </pic:spPr>
                </pic:pic>
              </a:graphicData>
            </a:graphic>
          </wp:inline>
        </w:drawing>
      </w:r>
    </w:p>
    <w:p w14:paraId="3615A83D" w14:textId="77777777" w:rsidR="00BA5D4A" w:rsidRDefault="00C3271F">
      <w:pPr>
        <w:spacing w:after="8" w:line="253" w:lineRule="auto"/>
        <w:ind w:left="46" w:hanging="10"/>
      </w:pPr>
      <w:r>
        <w:rPr>
          <w:sz w:val="28"/>
        </w:rPr>
        <w:t>Paul Brown</w:t>
      </w:r>
    </w:p>
    <w:p w14:paraId="77E40A31" w14:textId="77777777" w:rsidR="00BA5D4A" w:rsidRDefault="00C3271F">
      <w:pPr>
        <w:spacing w:after="0" w:line="265" w:lineRule="auto"/>
        <w:ind w:left="10" w:hanging="5"/>
        <w:jc w:val="both"/>
      </w:pPr>
      <w:r>
        <w:rPr>
          <w:sz w:val="24"/>
        </w:rPr>
        <w:lastRenderedPageBreak/>
        <w:t>Inspector of Mines</w:t>
      </w:r>
    </w:p>
    <w:p w14:paraId="0267F86F" w14:textId="77777777" w:rsidR="00BA5D4A" w:rsidRDefault="00C3271F">
      <w:pPr>
        <w:spacing w:after="2032" w:line="265" w:lineRule="auto"/>
        <w:ind w:left="10" w:hanging="5"/>
        <w:jc w:val="both"/>
      </w:pPr>
      <w:r>
        <w:rPr>
          <w:sz w:val="24"/>
        </w:rPr>
        <w:t>Central Region</w:t>
      </w:r>
    </w:p>
    <w:p w14:paraId="69B26CE6" w14:textId="77777777" w:rsidR="00BA5D4A" w:rsidRDefault="00C3271F">
      <w:pPr>
        <w:tabs>
          <w:tab w:val="center" w:pos="4560"/>
          <w:tab w:val="center" w:pos="8670"/>
        </w:tabs>
        <w:spacing w:after="3"/>
      </w:pPr>
      <w:r>
        <w:rPr>
          <w:sz w:val="18"/>
        </w:rPr>
        <w:t>24/03/2017</w:t>
      </w:r>
      <w:r>
        <w:rPr>
          <w:sz w:val="18"/>
        </w:rPr>
        <w:tab/>
      </w:r>
      <w:r>
        <w:rPr>
          <w:sz w:val="18"/>
        </w:rPr>
        <w:t>Mine Record Entry</w:t>
      </w:r>
      <w:r>
        <w:rPr>
          <w:sz w:val="18"/>
        </w:rPr>
        <w:tab/>
        <w:t>Page 2 of 2</w:t>
      </w:r>
    </w:p>
    <w:sectPr w:rsidR="00BA5D4A">
      <w:pgSz w:w="11909" w:h="16841"/>
      <w:pgMar w:top="1607" w:right="1204" w:bottom="594" w:left="13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86705"/>
    <w:multiLevelType w:val="hybridMultilevel"/>
    <w:tmpl w:val="D2EAF30E"/>
    <w:lvl w:ilvl="0" w:tplc="F566D9BC">
      <w:start w:val="3"/>
      <w:numFmt w:val="decimal"/>
      <w:lvlText w:val="%1."/>
      <w:lvlJc w:val="left"/>
      <w:pPr>
        <w:ind w:left="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86C94C">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DC7C04">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6CECC4">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8B338">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4EF5F0">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5836A8">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BA42B6">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E8BCC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627206"/>
    <w:multiLevelType w:val="hybridMultilevel"/>
    <w:tmpl w:val="322C168A"/>
    <w:lvl w:ilvl="0" w:tplc="FC9A29A8">
      <w:start w:val="1"/>
      <w:numFmt w:val="decimal"/>
      <w:lvlText w:val="%1"/>
      <w:lvlJc w:val="left"/>
      <w:pPr>
        <w:ind w:left="2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440BFE">
      <w:start w:val="1"/>
      <w:numFmt w:val="lowerLetter"/>
      <w:lvlText w:val="%2"/>
      <w:lvlJc w:val="left"/>
      <w:pPr>
        <w:ind w:left="11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B06944">
      <w:start w:val="1"/>
      <w:numFmt w:val="lowerRoman"/>
      <w:lvlText w:val="%3"/>
      <w:lvlJc w:val="left"/>
      <w:pPr>
        <w:ind w:left="18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1EFCFA">
      <w:start w:val="1"/>
      <w:numFmt w:val="decimal"/>
      <w:lvlText w:val="%4"/>
      <w:lvlJc w:val="left"/>
      <w:pPr>
        <w:ind w:left="2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998CF76">
      <w:start w:val="1"/>
      <w:numFmt w:val="lowerLetter"/>
      <w:lvlText w:val="%5"/>
      <w:lvlJc w:val="left"/>
      <w:pPr>
        <w:ind w:left="3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CC4154">
      <w:start w:val="1"/>
      <w:numFmt w:val="lowerRoman"/>
      <w:lvlText w:val="%6"/>
      <w:lvlJc w:val="left"/>
      <w:pPr>
        <w:ind w:left="3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BCCDDC">
      <w:start w:val="1"/>
      <w:numFmt w:val="decimal"/>
      <w:lvlText w:val="%7"/>
      <w:lvlJc w:val="left"/>
      <w:pPr>
        <w:ind w:left="4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0CEF82">
      <w:start w:val="1"/>
      <w:numFmt w:val="lowerLetter"/>
      <w:lvlText w:val="%8"/>
      <w:lvlJc w:val="left"/>
      <w:pPr>
        <w:ind w:left="5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A8A56">
      <w:start w:val="1"/>
      <w:numFmt w:val="lowerRoman"/>
      <w:lvlText w:val="%9"/>
      <w:lvlJc w:val="left"/>
      <w:pPr>
        <w:ind w:left="6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4A"/>
    <w:rsid w:val="00BA5D4A"/>
    <w:rsid w:val="00C32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7A5A"/>
  <w15:docId w15:val="{F6122038-B79F-455F-96B1-630C3603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29"/>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2021-07-13T02:36:00Z</dcterms:created>
  <dcterms:modified xsi:type="dcterms:W3CDTF">2021-07-13T02:36:00Z</dcterms:modified>
</cp:coreProperties>
</file>