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216E" w14:textId="77777777" w:rsidR="009B36D3" w:rsidRDefault="00AB53A6">
      <w:pPr>
        <w:spacing w:after="0"/>
        <w:ind w:left="3361" w:hanging="10"/>
        <w:jc w:val="center"/>
      </w:pPr>
      <w:r>
        <w:rPr>
          <w:sz w:val="20"/>
        </w:rPr>
        <w:t>Mackay District Office</w:t>
      </w:r>
    </w:p>
    <w:p w14:paraId="2E9C392D" w14:textId="77777777" w:rsidR="009B36D3" w:rsidRDefault="00AB53A6">
      <w:pPr>
        <w:spacing w:after="0"/>
        <w:ind w:right="1011"/>
        <w:jc w:val="right"/>
      </w:pPr>
      <w:r>
        <w:rPr>
          <w:sz w:val="20"/>
        </w:rPr>
        <w:t>P.O. Box 1801, MACKAY QLD 4740</w:t>
      </w:r>
    </w:p>
    <w:p w14:paraId="3A4A4060" w14:textId="77777777" w:rsidR="009B36D3" w:rsidRDefault="00AB53A6">
      <w:pPr>
        <w:tabs>
          <w:tab w:val="center" w:pos="2566"/>
          <w:tab w:val="center" w:pos="7128"/>
        </w:tabs>
        <w:spacing w:after="3"/>
      </w:pPr>
      <w:r>
        <w:rPr>
          <w:sz w:val="18"/>
        </w:rPr>
        <w:tab/>
        <w:t>Queensland Government</w:t>
      </w:r>
      <w:r>
        <w:rPr>
          <w:sz w:val="18"/>
        </w:rPr>
        <w:tab/>
        <w:t>Phone: (07) 4999 8512, Fax: (07) 4999 8519</w:t>
      </w:r>
    </w:p>
    <w:tbl>
      <w:tblPr>
        <w:tblStyle w:val="TableGrid"/>
        <w:tblW w:w="9369" w:type="dxa"/>
        <w:tblInd w:w="84" w:type="dxa"/>
        <w:tblCellMar>
          <w:top w:w="34" w:type="dxa"/>
          <w:left w:w="0" w:type="dxa"/>
          <w:bottom w:w="0" w:type="dxa"/>
          <w:right w:w="97" w:type="dxa"/>
        </w:tblCellMar>
        <w:tblLook w:val="04A0" w:firstRow="1" w:lastRow="0" w:firstColumn="1" w:lastColumn="0" w:noHBand="0" w:noVBand="1"/>
      </w:tblPr>
      <w:tblGrid>
        <w:gridCol w:w="2404"/>
        <w:gridCol w:w="960"/>
        <w:gridCol w:w="1986"/>
        <w:gridCol w:w="1844"/>
        <w:gridCol w:w="1001"/>
        <w:gridCol w:w="1174"/>
      </w:tblGrid>
      <w:tr w:rsidR="009B36D3" w14:paraId="3464B05D" w14:textId="77777777">
        <w:trPr>
          <w:trHeight w:val="279"/>
        </w:trPr>
        <w:tc>
          <w:tcPr>
            <w:tcW w:w="2403" w:type="dxa"/>
            <w:tcBorders>
              <w:top w:val="single" w:sz="2" w:space="0" w:color="000000"/>
              <w:left w:val="nil"/>
              <w:bottom w:val="single" w:sz="2" w:space="0" w:color="000000"/>
              <w:right w:val="nil"/>
            </w:tcBorders>
          </w:tcPr>
          <w:p w14:paraId="4D947239" w14:textId="77777777" w:rsidR="009B36D3" w:rsidRDefault="00AB53A6">
            <w:pPr>
              <w:spacing w:after="0"/>
              <w:ind w:left="15"/>
            </w:pPr>
            <w:r>
              <w:rPr>
                <w:sz w:val="24"/>
              </w:rPr>
              <w:t>Mine Name</w:t>
            </w:r>
          </w:p>
        </w:tc>
        <w:tc>
          <w:tcPr>
            <w:tcW w:w="960" w:type="dxa"/>
            <w:tcBorders>
              <w:top w:val="single" w:sz="2" w:space="0" w:color="000000"/>
              <w:left w:val="nil"/>
              <w:bottom w:val="single" w:sz="2" w:space="0" w:color="000000"/>
              <w:right w:val="nil"/>
            </w:tcBorders>
          </w:tcPr>
          <w:p w14:paraId="52EEDC42" w14:textId="77777777" w:rsidR="009B36D3" w:rsidRDefault="00AB53A6">
            <w:pPr>
              <w:spacing w:after="0"/>
            </w:pPr>
            <w:r>
              <w:t>Mine ID</w:t>
            </w:r>
          </w:p>
        </w:tc>
        <w:tc>
          <w:tcPr>
            <w:tcW w:w="1986" w:type="dxa"/>
            <w:tcBorders>
              <w:top w:val="single" w:sz="2" w:space="0" w:color="000000"/>
              <w:left w:val="nil"/>
              <w:bottom w:val="single" w:sz="2" w:space="0" w:color="000000"/>
              <w:right w:val="nil"/>
            </w:tcBorders>
          </w:tcPr>
          <w:p w14:paraId="3084AADE" w14:textId="77777777" w:rsidR="009B36D3" w:rsidRDefault="00AB53A6">
            <w:pPr>
              <w:spacing w:after="0"/>
              <w:ind w:left="401"/>
            </w:pPr>
            <w:r>
              <w:rPr>
                <w:sz w:val="24"/>
              </w:rPr>
              <w:t>Operator</w:t>
            </w:r>
          </w:p>
        </w:tc>
        <w:tc>
          <w:tcPr>
            <w:tcW w:w="1844" w:type="dxa"/>
            <w:tcBorders>
              <w:top w:val="single" w:sz="2" w:space="0" w:color="000000"/>
              <w:left w:val="nil"/>
              <w:bottom w:val="single" w:sz="2" w:space="0" w:color="000000"/>
              <w:right w:val="nil"/>
            </w:tcBorders>
          </w:tcPr>
          <w:p w14:paraId="6C9BC6C9" w14:textId="77777777" w:rsidR="009B36D3" w:rsidRDefault="00AB53A6">
            <w:pPr>
              <w:spacing w:after="0"/>
              <w:ind w:left="71"/>
            </w:pPr>
            <w:r>
              <w:rPr>
                <w:sz w:val="24"/>
              </w:rPr>
              <w:t>Activity Type</w:t>
            </w:r>
          </w:p>
        </w:tc>
        <w:tc>
          <w:tcPr>
            <w:tcW w:w="1001" w:type="dxa"/>
            <w:tcBorders>
              <w:top w:val="single" w:sz="2" w:space="0" w:color="000000"/>
              <w:left w:val="nil"/>
              <w:bottom w:val="single" w:sz="2" w:space="0" w:color="000000"/>
              <w:right w:val="nil"/>
            </w:tcBorders>
          </w:tcPr>
          <w:p w14:paraId="2F25F971" w14:textId="77777777" w:rsidR="009B36D3" w:rsidRDefault="00AB53A6">
            <w:pPr>
              <w:spacing w:after="0"/>
            </w:pPr>
            <w:r>
              <w:rPr>
                <w:sz w:val="24"/>
              </w:rPr>
              <w:t>Region</w:t>
            </w:r>
          </w:p>
        </w:tc>
        <w:tc>
          <w:tcPr>
            <w:tcW w:w="1174" w:type="dxa"/>
            <w:tcBorders>
              <w:top w:val="single" w:sz="2" w:space="0" w:color="000000"/>
              <w:left w:val="nil"/>
              <w:bottom w:val="single" w:sz="2" w:space="0" w:color="000000"/>
              <w:right w:val="nil"/>
            </w:tcBorders>
          </w:tcPr>
          <w:p w14:paraId="5EDF3798" w14:textId="77777777" w:rsidR="009B36D3" w:rsidRDefault="00AB53A6">
            <w:pPr>
              <w:spacing w:after="0"/>
            </w:pPr>
            <w:r>
              <w:t>Activity Date</w:t>
            </w:r>
          </w:p>
        </w:tc>
      </w:tr>
      <w:tr w:rsidR="009B36D3" w14:paraId="1671A9CD" w14:textId="77777777">
        <w:trPr>
          <w:trHeight w:val="407"/>
        </w:trPr>
        <w:tc>
          <w:tcPr>
            <w:tcW w:w="2403" w:type="dxa"/>
            <w:tcBorders>
              <w:top w:val="single" w:sz="2" w:space="0" w:color="000000"/>
              <w:left w:val="nil"/>
              <w:bottom w:val="single" w:sz="2" w:space="0" w:color="000000"/>
              <w:right w:val="nil"/>
            </w:tcBorders>
          </w:tcPr>
          <w:p w14:paraId="15CEBA14" w14:textId="77777777" w:rsidR="009B36D3" w:rsidRDefault="00AB53A6">
            <w:pPr>
              <w:spacing w:after="0"/>
              <w:ind w:left="5"/>
            </w:pPr>
            <w:r>
              <w:rPr>
                <w:sz w:val="18"/>
              </w:rPr>
              <w:t>Grosvenor Coal Mine</w:t>
            </w:r>
          </w:p>
        </w:tc>
        <w:tc>
          <w:tcPr>
            <w:tcW w:w="960" w:type="dxa"/>
            <w:tcBorders>
              <w:top w:val="single" w:sz="2" w:space="0" w:color="000000"/>
              <w:left w:val="nil"/>
              <w:bottom w:val="single" w:sz="2" w:space="0" w:color="000000"/>
              <w:right w:val="nil"/>
            </w:tcBorders>
          </w:tcPr>
          <w:p w14:paraId="36C54006" w14:textId="77777777" w:rsidR="009B36D3" w:rsidRDefault="00AB53A6">
            <w:pPr>
              <w:spacing w:after="0"/>
              <w:ind w:left="36"/>
            </w:pPr>
            <w:r>
              <w:rPr>
                <w:sz w:val="16"/>
              </w:rPr>
              <w:t xml:space="preserve">M102976 </w:t>
            </w:r>
          </w:p>
        </w:tc>
        <w:tc>
          <w:tcPr>
            <w:tcW w:w="1986" w:type="dxa"/>
            <w:tcBorders>
              <w:top w:val="single" w:sz="2" w:space="0" w:color="000000"/>
              <w:left w:val="nil"/>
              <w:bottom w:val="single" w:sz="2" w:space="0" w:color="000000"/>
              <w:right w:val="nil"/>
            </w:tcBorders>
          </w:tcPr>
          <w:p w14:paraId="4835E6D8" w14:textId="77777777" w:rsidR="009B36D3" w:rsidRDefault="00AB53A6">
            <w:pPr>
              <w:spacing w:after="0"/>
              <w:ind w:left="56" w:hanging="56"/>
            </w:pPr>
            <w:r>
              <w:rPr>
                <w:sz w:val="18"/>
              </w:rPr>
              <w:t>Anglo Coal (Grosvenor Management) Pty Ltd</w:t>
            </w:r>
          </w:p>
        </w:tc>
        <w:tc>
          <w:tcPr>
            <w:tcW w:w="1844" w:type="dxa"/>
            <w:tcBorders>
              <w:top w:val="single" w:sz="2" w:space="0" w:color="000000"/>
              <w:left w:val="nil"/>
              <w:bottom w:val="single" w:sz="2" w:space="0" w:color="000000"/>
              <w:right w:val="nil"/>
            </w:tcBorders>
          </w:tcPr>
          <w:p w14:paraId="56E5BCF1" w14:textId="77777777" w:rsidR="009B36D3" w:rsidRDefault="00AB53A6">
            <w:pPr>
              <w:spacing w:after="0"/>
            </w:pPr>
            <w:r>
              <w:rPr>
                <w:sz w:val="18"/>
              </w:rPr>
              <w:t>Postal Mine Record</w:t>
            </w:r>
          </w:p>
        </w:tc>
        <w:tc>
          <w:tcPr>
            <w:tcW w:w="1001" w:type="dxa"/>
            <w:tcBorders>
              <w:top w:val="single" w:sz="2" w:space="0" w:color="000000"/>
              <w:left w:val="nil"/>
              <w:bottom w:val="single" w:sz="2" w:space="0" w:color="000000"/>
              <w:right w:val="nil"/>
            </w:tcBorders>
          </w:tcPr>
          <w:p w14:paraId="468E4689" w14:textId="77777777" w:rsidR="009B36D3" w:rsidRDefault="00AB53A6">
            <w:pPr>
              <w:spacing w:after="0"/>
              <w:ind w:left="71"/>
            </w:pPr>
            <w:r>
              <w:rPr>
                <w:sz w:val="18"/>
              </w:rPr>
              <w:t>Central</w:t>
            </w:r>
          </w:p>
        </w:tc>
        <w:tc>
          <w:tcPr>
            <w:tcW w:w="1174" w:type="dxa"/>
            <w:tcBorders>
              <w:top w:val="single" w:sz="2" w:space="0" w:color="000000"/>
              <w:left w:val="nil"/>
              <w:bottom w:val="single" w:sz="2" w:space="0" w:color="000000"/>
              <w:right w:val="nil"/>
            </w:tcBorders>
          </w:tcPr>
          <w:p w14:paraId="5B34DF91" w14:textId="77777777" w:rsidR="009B36D3" w:rsidRDefault="00AB53A6">
            <w:pPr>
              <w:spacing w:after="0"/>
              <w:ind w:left="152"/>
            </w:pPr>
            <w:r>
              <w:rPr>
                <w:sz w:val="18"/>
              </w:rPr>
              <w:t>1 1/08/2017</w:t>
            </w:r>
          </w:p>
        </w:tc>
      </w:tr>
    </w:tbl>
    <w:p w14:paraId="218BD512" w14:textId="77777777" w:rsidR="009B36D3" w:rsidRDefault="00AB53A6">
      <w:pPr>
        <w:spacing w:after="336"/>
        <w:ind w:left="216" w:hanging="10"/>
        <w:jc w:val="center"/>
      </w:pPr>
      <w:r>
        <w:rPr>
          <w:sz w:val="20"/>
        </w:rPr>
        <w:t>Vision: Our Industries Free of Safety and Health Incidents</w:t>
      </w:r>
    </w:p>
    <w:p w14:paraId="0C79E4D7" w14:textId="77777777" w:rsidR="009B36D3" w:rsidRDefault="00AB53A6">
      <w:pPr>
        <w:pStyle w:val="Heading1"/>
      </w:pPr>
      <w:r>
        <w:t>Mine Record Entry</w:t>
      </w:r>
    </w:p>
    <w:p w14:paraId="3B4CC2A7" w14:textId="77777777" w:rsidR="009B36D3" w:rsidRDefault="00AB53A6">
      <w:pPr>
        <w:spacing w:after="0"/>
        <w:ind w:left="170"/>
        <w:jc w:val="center"/>
      </w:pPr>
      <w:r>
        <w:rPr>
          <w:sz w:val="26"/>
        </w:rPr>
        <w:t>This report forms part of the Mine Record under s68 of the Coal Mining Safety and</w:t>
      </w:r>
    </w:p>
    <w:p w14:paraId="0AD46381" w14:textId="77777777" w:rsidR="009B36D3" w:rsidRDefault="00AB53A6">
      <w:pPr>
        <w:spacing w:after="111" w:line="216" w:lineRule="auto"/>
        <w:ind w:left="10" w:hanging="10"/>
        <w:jc w:val="center"/>
      </w:pPr>
      <w:r>
        <w:rPr>
          <w:sz w:val="28"/>
        </w:rPr>
        <w:t xml:space="preserve">Health Act 1999. It must be placed in the Mine Record and displayed on Safety Notice </w:t>
      </w:r>
      <w:r>
        <w:rPr>
          <w:sz w:val="28"/>
        </w:rPr>
        <w:t>Boards.</w:t>
      </w:r>
    </w:p>
    <w:p w14:paraId="10F9EF62" w14:textId="77777777" w:rsidR="009B36D3" w:rsidRDefault="00AB53A6">
      <w:pPr>
        <w:spacing w:after="280" w:line="216" w:lineRule="auto"/>
        <w:ind w:left="140" w:firstLine="102"/>
      </w:pPr>
      <w:r>
        <w:rPr>
          <w:sz w:val="28"/>
        </w:rPr>
        <w:t xml:space="preserve">Note that inspection or audit activities conducted by the Mines Inspectorate are </w:t>
      </w:r>
      <w:r>
        <w:rPr>
          <w:sz w:val="28"/>
        </w:rPr>
        <w:t xml:space="preserve">based </w:t>
      </w:r>
      <w:r>
        <w:rPr>
          <w:sz w:val="28"/>
        </w:rPr>
        <w:t xml:space="preserve">upon sample techniques. It remains the primary responsibility of Mine Personnel to </w:t>
      </w:r>
      <w:r>
        <w:rPr>
          <w:sz w:val="28"/>
        </w:rPr>
        <w:t>identify hazards, and risks associated with Operations and ensure those risks are at an acceptable level.</w:t>
      </w:r>
    </w:p>
    <w:p w14:paraId="5F6139D2" w14:textId="77777777" w:rsidR="009B36D3" w:rsidRDefault="00AB53A6">
      <w:pPr>
        <w:spacing w:after="78" w:line="216" w:lineRule="auto"/>
        <w:ind w:left="89" w:right="33" w:firstLine="5"/>
      </w:pPr>
      <w:r>
        <w:rPr>
          <w:sz w:val="24"/>
        </w:rPr>
        <w:t xml:space="preserve">From a review of the Department of Natural Resources and Mines dust exposure database it is evident that there has been a failure to comply with regulation 89 of the Queensland Coal Mine and Safety Health Regulations. The </w:t>
      </w:r>
      <w:proofErr w:type="spellStart"/>
      <w:r>
        <w:rPr>
          <w:sz w:val="24"/>
        </w:rPr>
        <w:t>resuEts</w:t>
      </w:r>
      <w:proofErr w:type="spellEnd"/>
      <w:r>
        <w:rPr>
          <w:sz w:val="24"/>
        </w:rPr>
        <w:t xml:space="preserve"> from Grosvenor for the sec</w:t>
      </w:r>
      <w:r>
        <w:rPr>
          <w:sz w:val="24"/>
        </w:rPr>
        <w:t>ond quarter of 2017 indicate that only 5 valid personal respirable dust monitoring results for the Development Production Similar Exposure Group (SEG) were submitted.</w:t>
      </w:r>
    </w:p>
    <w:p w14:paraId="2FF42879" w14:textId="77777777" w:rsidR="009B36D3" w:rsidRDefault="00AB53A6">
      <w:pPr>
        <w:spacing w:after="78" w:line="216" w:lineRule="auto"/>
        <w:ind w:left="89" w:right="33" w:firstLine="5"/>
      </w:pPr>
      <w:r>
        <w:rPr>
          <w:sz w:val="24"/>
        </w:rPr>
        <w:t>Section 5.6.3 of Recognised Standard 14 Monitoring respirable dust in coal mines prescrib</w:t>
      </w:r>
      <w:r>
        <w:rPr>
          <w:sz w:val="24"/>
        </w:rPr>
        <w:t>es minimum sampling numbers for the underground production SEG's. As detailed below:</w:t>
      </w:r>
    </w:p>
    <w:p w14:paraId="44C1751C" w14:textId="77777777" w:rsidR="009B36D3" w:rsidRDefault="00AB53A6">
      <w:pPr>
        <w:spacing w:after="0"/>
        <w:ind w:left="31" w:hanging="10"/>
      </w:pPr>
      <w:r>
        <w:rPr>
          <w:sz w:val="26"/>
        </w:rPr>
        <w:t>5.6-3 Monitoring underground production SEGs</w:t>
      </w:r>
    </w:p>
    <w:p w14:paraId="4CB69421" w14:textId="77777777" w:rsidR="009B36D3" w:rsidRDefault="00AB53A6">
      <w:pPr>
        <w:spacing w:after="193" w:line="216" w:lineRule="auto"/>
        <w:ind w:left="89" w:right="33" w:firstLine="5"/>
      </w:pPr>
      <w:r>
        <w:rPr>
          <w:sz w:val="24"/>
        </w:rPr>
        <w:t>Notwithstanding the sampling requirements determined in previous sections, the minimum monitoring requirements for underground</w:t>
      </w:r>
      <w:r>
        <w:rPr>
          <w:sz w:val="24"/>
        </w:rPr>
        <w:t xml:space="preserve"> production SEGs are detailed in Table 3,</w:t>
      </w:r>
    </w:p>
    <w:p w14:paraId="135D917B" w14:textId="77777777" w:rsidR="009B36D3" w:rsidRDefault="00AB53A6">
      <w:pPr>
        <w:spacing w:after="192" w:line="216" w:lineRule="auto"/>
        <w:ind w:left="89" w:right="33" w:firstLine="5"/>
      </w:pPr>
      <w:r>
        <w:rPr>
          <w:sz w:val="24"/>
        </w:rPr>
        <w:t>Table 3: Minimum sample numbers and frequency for monitoring underground production SEGs</w:t>
      </w:r>
    </w:p>
    <w:tbl>
      <w:tblPr>
        <w:tblStyle w:val="TableGrid"/>
        <w:tblW w:w="7828" w:type="dxa"/>
        <w:tblInd w:w="126" w:type="dxa"/>
        <w:tblCellMar>
          <w:top w:w="43" w:type="dxa"/>
          <w:left w:w="221" w:type="dxa"/>
          <w:bottom w:w="0" w:type="dxa"/>
          <w:right w:w="115" w:type="dxa"/>
        </w:tblCellMar>
        <w:tblLook w:val="04A0" w:firstRow="1" w:lastRow="0" w:firstColumn="1" w:lastColumn="0" w:noHBand="0" w:noVBand="1"/>
      </w:tblPr>
      <w:tblGrid>
        <w:gridCol w:w="2608"/>
        <w:gridCol w:w="2607"/>
        <w:gridCol w:w="2613"/>
      </w:tblGrid>
      <w:tr w:rsidR="009B36D3" w14:paraId="6AE788E4" w14:textId="77777777">
        <w:trPr>
          <w:trHeight w:val="541"/>
        </w:trPr>
        <w:tc>
          <w:tcPr>
            <w:tcW w:w="2608" w:type="dxa"/>
            <w:tcBorders>
              <w:top w:val="single" w:sz="2" w:space="0" w:color="000000"/>
              <w:left w:val="single" w:sz="2" w:space="0" w:color="000000"/>
              <w:bottom w:val="single" w:sz="2" w:space="0" w:color="000000"/>
              <w:right w:val="single" w:sz="2" w:space="0" w:color="000000"/>
            </w:tcBorders>
          </w:tcPr>
          <w:p w14:paraId="07A2C6D9" w14:textId="77777777" w:rsidR="009B36D3" w:rsidRDefault="00AB53A6">
            <w:pPr>
              <w:spacing w:after="0"/>
              <w:ind w:left="11"/>
            </w:pPr>
            <w:r>
              <w:rPr>
                <w:sz w:val="26"/>
              </w:rPr>
              <w:t>SEG</w:t>
            </w:r>
          </w:p>
        </w:tc>
        <w:tc>
          <w:tcPr>
            <w:tcW w:w="2607" w:type="dxa"/>
            <w:tcBorders>
              <w:top w:val="single" w:sz="2" w:space="0" w:color="000000"/>
              <w:left w:val="single" w:sz="2" w:space="0" w:color="000000"/>
              <w:bottom w:val="single" w:sz="2" w:space="0" w:color="000000"/>
              <w:right w:val="single" w:sz="2" w:space="0" w:color="000000"/>
            </w:tcBorders>
          </w:tcPr>
          <w:p w14:paraId="0AB317ED" w14:textId="77777777" w:rsidR="009B36D3" w:rsidRDefault="00AB53A6">
            <w:pPr>
              <w:spacing w:after="0"/>
            </w:pPr>
            <w:r>
              <w:rPr>
                <w:sz w:val="24"/>
              </w:rPr>
              <w:t>Sampling interval</w:t>
            </w:r>
          </w:p>
        </w:tc>
        <w:tc>
          <w:tcPr>
            <w:tcW w:w="2613" w:type="dxa"/>
            <w:tcBorders>
              <w:top w:val="single" w:sz="2" w:space="0" w:color="000000"/>
              <w:left w:val="single" w:sz="2" w:space="0" w:color="000000"/>
              <w:bottom w:val="single" w:sz="2" w:space="0" w:color="000000"/>
              <w:right w:val="single" w:sz="2" w:space="0" w:color="000000"/>
            </w:tcBorders>
          </w:tcPr>
          <w:p w14:paraId="13A98F34" w14:textId="77777777" w:rsidR="009B36D3" w:rsidRDefault="00AB53A6">
            <w:pPr>
              <w:spacing w:after="0"/>
              <w:ind w:left="10"/>
            </w:pPr>
            <w:r>
              <w:rPr>
                <w:sz w:val="24"/>
              </w:rPr>
              <w:t>Minimum samples per interval</w:t>
            </w:r>
          </w:p>
        </w:tc>
      </w:tr>
      <w:tr w:rsidR="009B36D3" w14:paraId="51ECD84E" w14:textId="77777777">
        <w:trPr>
          <w:trHeight w:val="279"/>
        </w:trPr>
        <w:tc>
          <w:tcPr>
            <w:tcW w:w="2608" w:type="dxa"/>
            <w:tcBorders>
              <w:top w:val="single" w:sz="2" w:space="0" w:color="000000"/>
              <w:left w:val="single" w:sz="2" w:space="0" w:color="000000"/>
              <w:bottom w:val="single" w:sz="2" w:space="0" w:color="000000"/>
              <w:right w:val="single" w:sz="2" w:space="0" w:color="000000"/>
            </w:tcBorders>
          </w:tcPr>
          <w:p w14:paraId="4F7B8C36" w14:textId="77777777" w:rsidR="009B36D3" w:rsidRDefault="00AB53A6">
            <w:pPr>
              <w:spacing w:after="0"/>
              <w:ind w:left="11"/>
            </w:pPr>
            <w:r>
              <w:rPr>
                <w:sz w:val="24"/>
              </w:rPr>
              <w:t>Longwall production</w:t>
            </w:r>
          </w:p>
        </w:tc>
        <w:tc>
          <w:tcPr>
            <w:tcW w:w="2607" w:type="dxa"/>
            <w:tcBorders>
              <w:top w:val="single" w:sz="2" w:space="0" w:color="000000"/>
              <w:left w:val="single" w:sz="2" w:space="0" w:color="000000"/>
              <w:bottom w:val="single" w:sz="2" w:space="0" w:color="000000"/>
              <w:right w:val="single" w:sz="2" w:space="0" w:color="000000"/>
            </w:tcBorders>
          </w:tcPr>
          <w:p w14:paraId="51BED759" w14:textId="77777777" w:rsidR="009B36D3" w:rsidRDefault="00AB53A6">
            <w:pPr>
              <w:spacing w:after="0"/>
            </w:pPr>
            <w:r>
              <w:rPr>
                <w:sz w:val="24"/>
              </w:rPr>
              <w:t>Quarterly</w:t>
            </w:r>
          </w:p>
        </w:tc>
        <w:tc>
          <w:tcPr>
            <w:tcW w:w="2613" w:type="dxa"/>
            <w:tcBorders>
              <w:top w:val="single" w:sz="2" w:space="0" w:color="000000"/>
              <w:left w:val="single" w:sz="2" w:space="0" w:color="000000"/>
              <w:bottom w:val="single" w:sz="2" w:space="0" w:color="000000"/>
              <w:right w:val="single" w:sz="2" w:space="0" w:color="000000"/>
            </w:tcBorders>
          </w:tcPr>
          <w:p w14:paraId="2158421B" w14:textId="77777777" w:rsidR="009B36D3" w:rsidRDefault="00AB53A6">
            <w:pPr>
              <w:spacing w:after="0"/>
              <w:ind w:left="10"/>
            </w:pPr>
            <w:r>
              <w:rPr>
                <w:sz w:val="26"/>
              </w:rPr>
              <w:t>8-10</w:t>
            </w:r>
          </w:p>
        </w:tc>
      </w:tr>
      <w:tr w:rsidR="009B36D3" w14:paraId="1EE03D36" w14:textId="77777777">
        <w:trPr>
          <w:trHeight w:val="534"/>
        </w:trPr>
        <w:tc>
          <w:tcPr>
            <w:tcW w:w="2608" w:type="dxa"/>
            <w:tcBorders>
              <w:top w:val="single" w:sz="2" w:space="0" w:color="000000"/>
              <w:left w:val="single" w:sz="2" w:space="0" w:color="000000"/>
              <w:bottom w:val="single" w:sz="2" w:space="0" w:color="000000"/>
              <w:right w:val="single" w:sz="2" w:space="0" w:color="000000"/>
            </w:tcBorders>
          </w:tcPr>
          <w:p w14:paraId="063301A8" w14:textId="77777777" w:rsidR="009B36D3" w:rsidRDefault="00AB53A6">
            <w:pPr>
              <w:spacing w:after="0"/>
              <w:ind w:left="11"/>
            </w:pPr>
            <w:r>
              <w:rPr>
                <w:sz w:val="24"/>
              </w:rPr>
              <w:t xml:space="preserve">Development </w:t>
            </w:r>
            <w:r>
              <w:rPr>
                <w:sz w:val="24"/>
              </w:rPr>
              <w:t>production</w:t>
            </w:r>
          </w:p>
        </w:tc>
        <w:tc>
          <w:tcPr>
            <w:tcW w:w="2607" w:type="dxa"/>
            <w:tcBorders>
              <w:top w:val="single" w:sz="2" w:space="0" w:color="000000"/>
              <w:left w:val="single" w:sz="2" w:space="0" w:color="000000"/>
              <w:bottom w:val="single" w:sz="2" w:space="0" w:color="000000"/>
              <w:right w:val="single" w:sz="2" w:space="0" w:color="000000"/>
            </w:tcBorders>
          </w:tcPr>
          <w:p w14:paraId="6DD32AEC" w14:textId="77777777" w:rsidR="009B36D3" w:rsidRDefault="00AB53A6">
            <w:pPr>
              <w:spacing w:after="0"/>
            </w:pPr>
            <w:r>
              <w:rPr>
                <w:sz w:val="24"/>
              </w:rPr>
              <w:t>Quarterly</w:t>
            </w:r>
          </w:p>
        </w:tc>
        <w:tc>
          <w:tcPr>
            <w:tcW w:w="2613" w:type="dxa"/>
            <w:tcBorders>
              <w:top w:val="single" w:sz="2" w:space="0" w:color="000000"/>
              <w:left w:val="single" w:sz="2" w:space="0" w:color="000000"/>
              <w:bottom w:val="single" w:sz="2" w:space="0" w:color="000000"/>
              <w:right w:val="single" w:sz="2" w:space="0" w:color="000000"/>
            </w:tcBorders>
          </w:tcPr>
          <w:p w14:paraId="592295F8" w14:textId="77777777" w:rsidR="009B36D3" w:rsidRDefault="00AB53A6">
            <w:pPr>
              <w:spacing w:after="0"/>
              <w:ind w:left="10"/>
            </w:pPr>
            <w:r>
              <w:rPr>
                <w:sz w:val="26"/>
              </w:rPr>
              <w:t>8-10</w:t>
            </w:r>
          </w:p>
        </w:tc>
      </w:tr>
      <w:tr w:rsidR="009B36D3" w14:paraId="651F325F" w14:textId="77777777">
        <w:trPr>
          <w:trHeight w:val="396"/>
        </w:trPr>
        <w:tc>
          <w:tcPr>
            <w:tcW w:w="2608" w:type="dxa"/>
            <w:tcBorders>
              <w:top w:val="single" w:sz="2" w:space="0" w:color="000000"/>
              <w:left w:val="single" w:sz="2" w:space="0" w:color="000000"/>
              <w:bottom w:val="single" w:sz="2" w:space="0" w:color="000000"/>
              <w:right w:val="single" w:sz="2" w:space="0" w:color="000000"/>
            </w:tcBorders>
          </w:tcPr>
          <w:p w14:paraId="1B990C99" w14:textId="77777777" w:rsidR="009B36D3" w:rsidRDefault="009B36D3"/>
        </w:tc>
        <w:tc>
          <w:tcPr>
            <w:tcW w:w="2607" w:type="dxa"/>
            <w:tcBorders>
              <w:top w:val="single" w:sz="2" w:space="0" w:color="000000"/>
              <w:left w:val="single" w:sz="2" w:space="0" w:color="000000"/>
              <w:bottom w:val="single" w:sz="2" w:space="0" w:color="000000"/>
              <w:right w:val="single" w:sz="2" w:space="0" w:color="000000"/>
            </w:tcBorders>
          </w:tcPr>
          <w:p w14:paraId="5985041A" w14:textId="77777777" w:rsidR="009B36D3" w:rsidRDefault="009B36D3"/>
        </w:tc>
        <w:tc>
          <w:tcPr>
            <w:tcW w:w="2613" w:type="dxa"/>
            <w:tcBorders>
              <w:top w:val="single" w:sz="2" w:space="0" w:color="000000"/>
              <w:left w:val="single" w:sz="2" w:space="0" w:color="000000"/>
              <w:bottom w:val="single" w:sz="2" w:space="0" w:color="000000"/>
              <w:right w:val="single" w:sz="2" w:space="0" w:color="000000"/>
            </w:tcBorders>
          </w:tcPr>
          <w:p w14:paraId="5EFB2DF6" w14:textId="77777777" w:rsidR="009B36D3" w:rsidRDefault="009B36D3"/>
        </w:tc>
      </w:tr>
      <w:tr w:rsidR="009B36D3" w14:paraId="15D85D1A" w14:textId="77777777">
        <w:trPr>
          <w:trHeight w:val="403"/>
        </w:trPr>
        <w:tc>
          <w:tcPr>
            <w:tcW w:w="2608" w:type="dxa"/>
            <w:tcBorders>
              <w:top w:val="single" w:sz="2" w:space="0" w:color="000000"/>
              <w:left w:val="single" w:sz="2" w:space="0" w:color="000000"/>
              <w:bottom w:val="single" w:sz="2" w:space="0" w:color="000000"/>
              <w:right w:val="single" w:sz="2" w:space="0" w:color="000000"/>
            </w:tcBorders>
          </w:tcPr>
          <w:p w14:paraId="78DC57F3" w14:textId="77777777" w:rsidR="009B36D3" w:rsidRDefault="009B36D3"/>
        </w:tc>
        <w:tc>
          <w:tcPr>
            <w:tcW w:w="2607" w:type="dxa"/>
            <w:tcBorders>
              <w:top w:val="single" w:sz="2" w:space="0" w:color="000000"/>
              <w:left w:val="single" w:sz="2" w:space="0" w:color="000000"/>
              <w:bottom w:val="single" w:sz="2" w:space="0" w:color="000000"/>
              <w:right w:val="single" w:sz="2" w:space="0" w:color="000000"/>
            </w:tcBorders>
          </w:tcPr>
          <w:p w14:paraId="382705A1" w14:textId="77777777" w:rsidR="009B36D3" w:rsidRDefault="009B36D3"/>
        </w:tc>
        <w:tc>
          <w:tcPr>
            <w:tcW w:w="2613" w:type="dxa"/>
            <w:tcBorders>
              <w:top w:val="single" w:sz="2" w:space="0" w:color="000000"/>
              <w:left w:val="single" w:sz="2" w:space="0" w:color="000000"/>
              <w:bottom w:val="single" w:sz="2" w:space="0" w:color="000000"/>
              <w:right w:val="single" w:sz="2" w:space="0" w:color="000000"/>
            </w:tcBorders>
          </w:tcPr>
          <w:p w14:paraId="4C0FD12C" w14:textId="77777777" w:rsidR="009B36D3" w:rsidRDefault="009B36D3"/>
        </w:tc>
      </w:tr>
      <w:tr w:rsidR="009B36D3" w14:paraId="778D4478" w14:textId="77777777">
        <w:trPr>
          <w:trHeight w:val="398"/>
        </w:trPr>
        <w:tc>
          <w:tcPr>
            <w:tcW w:w="2608" w:type="dxa"/>
            <w:tcBorders>
              <w:top w:val="single" w:sz="2" w:space="0" w:color="000000"/>
              <w:left w:val="single" w:sz="2" w:space="0" w:color="000000"/>
              <w:bottom w:val="single" w:sz="2" w:space="0" w:color="000000"/>
              <w:right w:val="single" w:sz="2" w:space="0" w:color="000000"/>
            </w:tcBorders>
          </w:tcPr>
          <w:p w14:paraId="2878794D" w14:textId="77777777" w:rsidR="009B36D3" w:rsidRDefault="009B36D3"/>
        </w:tc>
        <w:tc>
          <w:tcPr>
            <w:tcW w:w="2607" w:type="dxa"/>
            <w:tcBorders>
              <w:top w:val="single" w:sz="2" w:space="0" w:color="000000"/>
              <w:left w:val="single" w:sz="2" w:space="0" w:color="000000"/>
              <w:bottom w:val="single" w:sz="2" w:space="0" w:color="000000"/>
              <w:right w:val="single" w:sz="2" w:space="0" w:color="000000"/>
            </w:tcBorders>
          </w:tcPr>
          <w:p w14:paraId="30D2440F" w14:textId="77777777" w:rsidR="009B36D3" w:rsidRDefault="009B36D3"/>
        </w:tc>
        <w:tc>
          <w:tcPr>
            <w:tcW w:w="2613" w:type="dxa"/>
            <w:tcBorders>
              <w:top w:val="single" w:sz="2" w:space="0" w:color="000000"/>
              <w:left w:val="single" w:sz="2" w:space="0" w:color="000000"/>
              <w:bottom w:val="single" w:sz="2" w:space="0" w:color="000000"/>
              <w:right w:val="single" w:sz="2" w:space="0" w:color="000000"/>
            </w:tcBorders>
          </w:tcPr>
          <w:p w14:paraId="0D89B910" w14:textId="77777777" w:rsidR="009B36D3" w:rsidRDefault="009B36D3"/>
        </w:tc>
      </w:tr>
    </w:tbl>
    <w:p w14:paraId="0188AF80" w14:textId="77777777" w:rsidR="009B36D3" w:rsidRDefault="00AB53A6">
      <w:pPr>
        <w:spacing w:after="78" w:line="216" w:lineRule="auto"/>
        <w:ind w:left="89" w:right="33" w:firstLine="5"/>
      </w:pPr>
      <w:r>
        <w:rPr>
          <w:sz w:val="24"/>
        </w:rPr>
        <w:t xml:space="preserve">Section 5 of Regulation 89 requires that these personal respirable dust monitoring results </w:t>
      </w:r>
      <w:proofErr w:type="gramStart"/>
      <w:r>
        <w:rPr>
          <w:sz w:val="24"/>
        </w:rPr>
        <w:t>are</w:t>
      </w:r>
      <w:proofErr w:type="gramEnd"/>
      <w:r>
        <w:rPr>
          <w:sz w:val="24"/>
        </w:rPr>
        <w:t xml:space="preserve"> submitted to the Department of Natural Resources and Mines in the approved format at least once every 3 months. As detailed below:</w:t>
      </w:r>
    </w:p>
    <w:p w14:paraId="73C1775F" w14:textId="77777777" w:rsidR="009B36D3" w:rsidRDefault="00AB53A6">
      <w:pPr>
        <w:spacing w:after="186"/>
        <w:ind w:left="104"/>
      </w:pPr>
      <w:r>
        <w:rPr>
          <w:sz w:val="26"/>
        </w:rPr>
        <w:t>89 Dust</w:t>
      </w:r>
    </w:p>
    <w:p w14:paraId="600D685A" w14:textId="77777777" w:rsidR="009B36D3" w:rsidRDefault="00AB53A6">
      <w:pPr>
        <w:spacing w:after="0" w:line="216" w:lineRule="auto"/>
        <w:ind w:left="89" w:right="600" w:firstLine="51"/>
        <w:jc w:val="both"/>
      </w:pPr>
      <w:r>
        <w:rPr>
          <w:sz w:val="24"/>
        </w:rPr>
        <w:lastRenderedPageBreak/>
        <w:t xml:space="preserve">(5) The system must provide for all of the following— (a) monitoring, and preparing a record of, concentrations of respirable dust in the atmosphere of the work </w:t>
      </w:r>
      <w:proofErr w:type="gramStart"/>
      <w:r>
        <w:rPr>
          <w:sz w:val="24"/>
        </w:rPr>
        <w:t>environment;</w:t>
      </w:r>
      <w:proofErr w:type="gramEnd"/>
    </w:p>
    <w:p w14:paraId="7D693F33" w14:textId="77777777" w:rsidR="009B36D3" w:rsidRDefault="00AB53A6">
      <w:pPr>
        <w:spacing w:after="620" w:line="216" w:lineRule="auto"/>
        <w:ind w:left="99" w:hanging="10"/>
        <w:jc w:val="both"/>
      </w:pPr>
      <w:r>
        <w:rPr>
          <w:sz w:val="24"/>
        </w:rPr>
        <w:t>(b) keeping the record in a location that is easily accessible</w:t>
      </w:r>
    </w:p>
    <w:p w14:paraId="49AA870E" w14:textId="77777777" w:rsidR="009B36D3" w:rsidRDefault="00AB53A6">
      <w:pPr>
        <w:tabs>
          <w:tab w:val="center" w:pos="4608"/>
          <w:tab w:val="center" w:pos="8718"/>
        </w:tabs>
        <w:spacing w:after="3"/>
      </w:pPr>
      <w:r>
        <w:rPr>
          <w:sz w:val="18"/>
        </w:rPr>
        <w:t>1 1/08/2017</w:t>
      </w:r>
      <w:r>
        <w:rPr>
          <w:sz w:val="18"/>
        </w:rPr>
        <w:tab/>
      </w:r>
      <w:r>
        <w:rPr>
          <w:sz w:val="18"/>
        </w:rPr>
        <w:t>Mine Re</w:t>
      </w:r>
      <w:r>
        <w:rPr>
          <w:sz w:val="18"/>
        </w:rPr>
        <w:t>cord Entry</w:t>
      </w:r>
      <w:r>
        <w:rPr>
          <w:sz w:val="18"/>
        </w:rPr>
        <w:tab/>
        <w:t>Page 1 of 2</w:t>
      </w:r>
    </w:p>
    <w:p w14:paraId="2E0C03EC" w14:textId="77777777" w:rsidR="009B36D3" w:rsidRDefault="00AB53A6">
      <w:pPr>
        <w:spacing w:after="36" w:line="224" w:lineRule="auto"/>
        <w:ind w:left="20" w:right="221" w:hanging="10"/>
      </w:pPr>
      <w:r>
        <w:rPr>
          <w:rFonts w:ascii="Courier New" w:eastAsia="Courier New" w:hAnsi="Courier New" w:cs="Courier New"/>
          <w:sz w:val="24"/>
        </w:rPr>
        <w:t xml:space="preserve">by each coal mine worker at the </w:t>
      </w:r>
      <w:proofErr w:type="gramStart"/>
      <w:r>
        <w:rPr>
          <w:rFonts w:ascii="Courier New" w:eastAsia="Courier New" w:hAnsi="Courier New" w:cs="Courier New"/>
          <w:sz w:val="24"/>
        </w:rPr>
        <w:t>mine;</w:t>
      </w:r>
      <w:proofErr w:type="gramEnd"/>
    </w:p>
    <w:p w14:paraId="1DFF346D" w14:textId="77777777" w:rsidR="009B36D3" w:rsidRDefault="00AB53A6">
      <w:pPr>
        <w:spacing w:after="36" w:line="224" w:lineRule="auto"/>
        <w:ind w:left="20" w:right="221" w:hanging="10"/>
      </w:pPr>
      <w:r>
        <w:rPr>
          <w:rFonts w:ascii="Courier New" w:eastAsia="Courier New" w:hAnsi="Courier New" w:cs="Courier New"/>
          <w:sz w:val="24"/>
        </w:rPr>
        <w:t>(c) submitting the record to the chief inspector</w:t>
      </w:r>
      <w:r>
        <w:rPr>
          <w:noProof/>
        </w:rPr>
        <w:drawing>
          <wp:inline distT="0" distB="0" distL="0" distR="0" wp14:anchorId="75E695A1" wp14:editId="2A07460A">
            <wp:extent cx="100181" cy="45245"/>
            <wp:effectExtent l="0" t="0" r="0" b="0"/>
            <wp:docPr id="10565" name="Picture 10565"/>
            <wp:cNvGraphicFramePr/>
            <a:graphic xmlns:a="http://schemas.openxmlformats.org/drawingml/2006/main">
              <a:graphicData uri="http://schemas.openxmlformats.org/drawingml/2006/picture">
                <pic:pic xmlns:pic="http://schemas.openxmlformats.org/drawingml/2006/picture">
                  <pic:nvPicPr>
                    <pic:cNvPr id="10565" name="Picture 10565"/>
                    <pic:cNvPicPr/>
                  </pic:nvPicPr>
                  <pic:blipFill>
                    <a:blip r:embed="rId4"/>
                    <a:stretch>
                      <a:fillRect/>
                    </a:stretch>
                  </pic:blipFill>
                  <pic:spPr>
                    <a:xfrm>
                      <a:off x="0" y="0"/>
                      <a:ext cx="100181" cy="45245"/>
                    </a:xfrm>
                    <a:prstGeom prst="rect">
                      <a:avLst/>
                    </a:prstGeom>
                  </pic:spPr>
                </pic:pic>
              </a:graphicData>
            </a:graphic>
          </wp:inline>
        </w:drawing>
      </w:r>
    </w:p>
    <w:p w14:paraId="628AFC35" w14:textId="77777777" w:rsidR="009B36D3" w:rsidRDefault="00AB53A6">
      <w:pPr>
        <w:spacing w:after="4" w:line="224" w:lineRule="auto"/>
        <w:ind w:left="10" w:right="221" w:firstLine="51"/>
      </w:pPr>
      <w:r>
        <w:rPr>
          <w:rFonts w:ascii="Courier New" w:eastAsia="Courier New" w:hAnsi="Courier New" w:cs="Courier New"/>
          <w:sz w:val="24"/>
        </w:rPr>
        <w:t>(</w:t>
      </w:r>
      <w:proofErr w:type="spellStart"/>
      <w:r>
        <w:rPr>
          <w:rFonts w:ascii="Courier New" w:eastAsia="Courier New" w:hAnsi="Courier New" w:cs="Courier New"/>
          <w:sz w:val="24"/>
        </w:rPr>
        <w:t>i</w:t>
      </w:r>
      <w:proofErr w:type="spellEnd"/>
      <w:r>
        <w:rPr>
          <w:rFonts w:ascii="Courier New" w:eastAsia="Courier New" w:hAnsi="Courier New" w:cs="Courier New"/>
          <w:sz w:val="24"/>
        </w:rPr>
        <w:t>) in a way, and in a format, approved by the chief inspector; and</w:t>
      </w:r>
    </w:p>
    <w:p w14:paraId="08FA6974" w14:textId="77777777" w:rsidR="009B36D3" w:rsidRDefault="00AB53A6">
      <w:pPr>
        <w:spacing w:after="147" w:line="216" w:lineRule="auto"/>
        <w:ind w:left="25" w:right="236" w:firstLine="51"/>
        <w:jc w:val="both"/>
      </w:pPr>
      <w:r>
        <w:rPr>
          <w:rFonts w:ascii="Courier New" w:eastAsia="Courier New" w:hAnsi="Courier New" w:cs="Courier New"/>
          <w:sz w:val="24"/>
        </w:rPr>
        <w:t>(</w:t>
      </w:r>
      <w:proofErr w:type="spellStart"/>
      <w:r>
        <w:rPr>
          <w:rFonts w:ascii="Courier New" w:eastAsia="Courier New" w:hAnsi="Courier New" w:cs="Courier New"/>
          <w:sz w:val="24"/>
        </w:rPr>
        <w:t>i</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i</w:t>
      </w:r>
      <w:proofErr w:type="spellEnd"/>
      <w:r>
        <w:rPr>
          <w:rFonts w:ascii="Courier New" w:eastAsia="Courier New" w:hAnsi="Courier New" w:cs="Courier New"/>
          <w:sz w:val="24"/>
        </w:rPr>
        <w:t>) for development operations or longwall operations—at least once every 3</w:t>
      </w:r>
      <w:r>
        <w:rPr>
          <w:rFonts w:ascii="Courier New" w:eastAsia="Courier New" w:hAnsi="Courier New" w:cs="Courier New"/>
          <w:sz w:val="24"/>
        </w:rPr>
        <w:t xml:space="preserve"> months and as otherwise directed by an </w:t>
      </w:r>
      <w:proofErr w:type="gramStart"/>
      <w:r>
        <w:rPr>
          <w:rFonts w:ascii="Courier New" w:eastAsia="Courier New" w:hAnsi="Courier New" w:cs="Courier New"/>
          <w:sz w:val="24"/>
        </w:rPr>
        <w:t>inspector;</w:t>
      </w:r>
      <w:proofErr w:type="gramEnd"/>
    </w:p>
    <w:p w14:paraId="09AC45B6" w14:textId="77777777" w:rsidR="009B36D3" w:rsidRDefault="00AB53A6">
      <w:pPr>
        <w:spacing w:after="76" w:line="216" w:lineRule="auto"/>
        <w:ind w:left="10" w:right="425" w:hanging="5"/>
        <w:jc w:val="both"/>
      </w:pPr>
      <w:r>
        <w:rPr>
          <w:sz w:val="24"/>
        </w:rPr>
        <w:t>Due to the failure to comply with the Queensland Coal Mine and Safety Health Regulations and Recognised Standard for this matter a Directive will be issued under section 168 of the Queensland Coal Mine and</w:t>
      </w:r>
      <w:r>
        <w:rPr>
          <w:sz w:val="24"/>
        </w:rPr>
        <w:t xml:space="preserve"> Safety Health Act:</w:t>
      </w:r>
    </w:p>
    <w:p w14:paraId="30FAFDEE" w14:textId="77777777" w:rsidR="009B36D3" w:rsidRDefault="00AB53A6">
      <w:pPr>
        <w:spacing w:after="4" w:line="224" w:lineRule="auto"/>
        <w:ind w:left="20" w:right="949" w:hanging="10"/>
      </w:pPr>
      <w:r>
        <w:rPr>
          <w:rFonts w:ascii="Courier New" w:eastAsia="Courier New" w:hAnsi="Courier New" w:cs="Courier New"/>
          <w:sz w:val="24"/>
        </w:rPr>
        <w:t>168 Directive to review safety and health management system and principal hazard management plans</w:t>
      </w:r>
      <w:r>
        <w:rPr>
          <w:noProof/>
        </w:rPr>
        <w:drawing>
          <wp:inline distT="0" distB="0" distL="0" distR="0" wp14:anchorId="7416AD8B" wp14:editId="250CAB61">
            <wp:extent cx="3232" cy="3232"/>
            <wp:effectExtent l="0" t="0" r="0" b="0"/>
            <wp:docPr id="5418" name="Picture 5418"/>
            <wp:cNvGraphicFramePr/>
            <a:graphic xmlns:a="http://schemas.openxmlformats.org/drawingml/2006/main">
              <a:graphicData uri="http://schemas.openxmlformats.org/drawingml/2006/picture">
                <pic:pic xmlns:pic="http://schemas.openxmlformats.org/drawingml/2006/picture">
                  <pic:nvPicPr>
                    <pic:cNvPr id="5418" name="Picture 5418"/>
                    <pic:cNvPicPr/>
                  </pic:nvPicPr>
                  <pic:blipFill>
                    <a:blip r:embed="rId5"/>
                    <a:stretch>
                      <a:fillRect/>
                    </a:stretch>
                  </pic:blipFill>
                  <pic:spPr>
                    <a:xfrm>
                      <a:off x="0" y="0"/>
                      <a:ext cx="3232" cy="3232"/>
                    </a:xfrm>
                    <a:prstGeom prst="rect">
                      <a:avLst/>
                    </a:prstGeom>
                  </pic:spPr>
                </pic:pic>
              </a:graphicData>
            </a:graphic>
          </wp:inline>
        </w:drawing>
      </w:r>
    </w:p>
    <w:p w14:paraId="27EC70C0" w14:textId="77777777" w:rsidR="009B36D3" w:rsidRDefault="00AB53A6">
      <w:pPr>
        <w:spacing w:after="4" w:line="224" w:lineRule="auto"/>
        <w:ind w:left="20" w:right="221" w:hanging="10"/>
      </w:pPr>
      <w:r>
        <w:rPr>
          <w:rFonts w:ascii="Courier New" w:eastAsia="Courier New" w:hAnsi="Courier New" w:cs="Courier New"/>
          <w:sz w:val="24"/>
        </w:rPr>
        <w:t>If an inspector believes the safety and health management system or a principal hazard management plan for a coal mine is ineffective, the inspector may give a directive to review the safety and health management system or the principal hazard management p</w:t>
      </w:r>
      <w:r>
        <w:rPr>
          <w:rFonts w:ascii="Courier New" w:eastAsia="Courier New" w:hAnsi="Courier New" w:cs="Courier New"/>
          <w:sz w:val="24"/>
        </w:rPr>
        <w:t>lan and make it effective.</w:t>
      </w:r>
      <w:r>
        <w:rPr>
          <w:noProof/>
        </w:rPr>
        <w:drawing>
          <wp:inline distT="0" distB="0" distL="0" distR="0" wp14:anchorId="721761B5" wp14:editId="060C42CF">
            <wp:extent cx="6463" cy="32318"/>
            <wp:effectExtent l="0" t="0" r="0" b="0"/>
            <wp:docPr id="10567" name="Picture 10567"/>
            <wp:cNvGraphicFramePr/>
            <a:graphic xmlns:a="http://schemas.openxmlformats.org/drawingml/2006/main">
              <a:graphicData uri="http://schemas.openxmlformats.org/drawingml/2006/picture">
                <pic:pic xmlns:pic="http://schemas.openxmlformats.org/drawingml/2006/picture">
                  <pic:nvPicPr>
                    <pic:cNvPr id="10567" name="Picture 10567"/>
                    <pic:cNvPicPr/>
                  </pic:nvPicPr>
                  <pic:blipFill>
                    <a:blip r:embed="rId6"/>
                    <a:stretch>
                      <a:fillRect/>
                    </a:stretch>
                  </pic:blipFill>
                  <pic:spPr>
                    <a:xfrm>
                      <a:off x="0" y="0"/>
                      <a:ext cx="6463" cy="32318"/>
                    </a:xfrm>
                    <a:prstGeom prst="rect">
                      <a:avLst/>
                    </a:prstGeom>
                  </pic:spPr>
                </pic:pic>
              </a:graphicData>
            </a:graphic>
          </wp:inline>
        </w:drawing>
      </w:r>
    </w:p>
    <w:p w14:paraId="34AE2EB2" w14:textId="77777777" w:rsidR="009B36D3" w:rsidRDefault="00AB53A6">
      <w:pPr>
        <w:spacing w:after="959" w:line="216" w:lineRule="auto"/>
        <w:ind w:left="5" w:right="33" w:firstLine="5"/>
      </w:pPr>
      <w:r>
        <w:rPr>
          <w:noProof/>
        </w:rPr>
        <w:drawing>
          <wp:anchor distT="0" distB="0" distL="114300" distR="114300" simplePos="0" relativeHeight="251658240" behindDoc="0" locked="0" layoutInCell="1" allowOverlap="0" wp14:anchorId="1F6BC1F6" wp14:editId="03FCCE24">
            <wp:simplePos x="0" y="0"/>
            <wp:positionH relativeFrom="page">
              <wp:posOffset>840232</wp:posOffset>
            </wp:positionH>
            <wp:positionV relativeFrom="page">
              <wp:posOffset>1114959</wp:posOffset>
            </wp:positionV>
            <wp:extent cx="6463" cy="6464"/>
            <wp:effectExtent l="0" t="0" r="0" b="0"/>
            <wp:wrapSquare wrapText="bothSides"/>
            <wp:docPr id="5415" name="Picture 5415"/>
            <wp:cNvGraphicFramePr/>
            <a:graphic xmlns:a="http://schemas.openxmlformats.org/drawingml/2006/main">
              <a:graphicData uri="http://schemas.openxmlformats.org/drawingml/2006/picture">
                <pic:pic xmlns:pic="http://schemas.openxmlformats.org/drawingml/2006/picture">
                  <pic:nvPicPr>
                    <pic:cNvPr id="5415" name="Picture 5415"/>
                    <pic:cNvPicPr/>
                  </pic:nvPicPr>
                  <pic:blipFill>
                    <a:blip r:embed="rId7"/>
                    <a:stretch>
                      <a:fillRect/>
                    </a:stretch>
                  </pic:blipFill>
                  <pic:spPr>
                    <a:xfrm>
                      <a:off x="0" y="0"/>
                      <a:ext cx="6463" cy="6464"/>
                    </a:xfrm>
                    <a:prstGeom prst="rect">
                      <a:avLst/>
                    </a:prstGeom>
                  </pic:spPr>
                </pic:pic>
              </a:graphicData>
            </a:graphic>
          </wp:anchor>
        </w:drawing>
      </w:r>
      <w:r>
        <w:rPr>
          <w:noProof/>
        </w:rPr>
        <w:drawing>
          <wp:anchor distT="0" distB="0" distL="114300" distR="114300" simplePos="0" relativeHeight="251659264" behindDoc="0" locked="0" layoutInCell="1" allowOverlap="0" wp14:anchorId="147CF167" wp14:editId="1845CA59">
            <wp:simplePos x="0" y="0"/>
            <wp:positionH relativeFrom="page">
              <wp:posOffset>840232</wp:posOffset>
            </wp:positionH>
            <wp:positionV relativeFrom="page">
              <wp:posOffset>3832872</wp:posOffset>
            </wp:positionV>
            <wp:extent cx="6463" cy="3232"/>
            <wp:effectExtent l="0" t="0" r="0" b="0"/>
            <wp:wrapSquare wrapText="bothSides"/>
            <wp:docPr id="5419" name="Picture 5419"/>
            <wp:cNvGraphicFramePr/>
            <a:graphic xmlns:a="http://schemas.openxmlformats.org/drawingml/2006/main">
              <a:graphicData uri="http://schemas.openxmlformats.org/drawingml/2006/picture">
                <pic:pic xmlns:pic="http://schemas.openxmlformats.org/drawingml/2006/picture">
                  <pic:nvPicPr>
                    <pic:cNvPr id="5419" name="Picture 5419"/>
                    <pic:cNvPicPr/>
                  </pic:nvPicPr>
                  <pic:blipFill>
                    <a:blip r:embed="rId8"/>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60288" behindDoc="0" locked="0" layoutInCell="1" allowOverlap="0" wp14:anchorId="48706836" wp14:editId="1B5ABC15">
            <wp:simplePos x="0" y="0"/>
            <wp:positionH relativeFrom="page">
              <wp:posOffset>840232</wp:posOffset>
            </wp:positionH>
            <wp:positionV relativeFrom="page">
              <wp:posOffset>3903972</wp:posOffset>
            </wp:positionV>
            <wp:extent cx="6463" cy="6463"/>
            <wp:effectExtent l="0" t="0" r="0" b="0"/>
            <wp:wrapSquare wrapText="bothSides"/>
            <wp:docPr id="5421" name="Picture 5421"/>
            <wp:cNvGraphicFramePr/>
            <a:graphic xmlns:a="http://schemas.openxmlformats.org/drawingml/2006/main">
              <a:graphicData uri="http://schemas.openxmlformats.org/drawingml/2006/picture">
                <pic:pic xmlns:pic="http://schemas.openxmlformats.org/drawingml/2006/picture">
                  <pic:nvPicPr>
                    <pic:cNvPr id="5421" name="Picture 5421"/>
                    <pic:cNvPicPr/>
                  </pic:nvPicPr>
                  <pic:blipFill>
                    <a:blip r:embed="rId9"/>
                    <a:stretch>
                      <a:fillRect/>
                    </a:stretch>
                  </pic:blipFill>
                  <pic:spPr>
                    <a:xfrm>
                      <a:off x="0" y="0"/>
                      <a:ext cx="6463" cy="6463"/>
                    </a:xfrm>
                    <a:prstGeom prst="rect">
                      <a:avLst/>
                    </a:prstGeom>
                  </pic:spPr>
                </pic:pic>
              </a:graphicData>
            </a:graphic>
          </wp:anchor>
        </w:drawing>
      </w:r>
      <w:r>
        <w:rPr>
          <w:noProof/>
        </w:rPr>
        <w:drawing>
          <wp:anchor distT="0" distB="0" distL="114300" distR="114300" simplePos="0" relativeHeight="251661312" behindDoc="0" locked="0" layoutInCell="1" allowOverlap="0" wp14:anchorId="02EE2AA7" wp14:editId="05E704EA">
            <wp:simplePos x="0" y="0"/>
            <wp:positionH relativeFrom="page">
              <wp:posOffset>849927</wp:posOffset>
            </wp:positionH>
            <wp:positionV relativeFrom="page">
              <wp:posOffset>3916898</wp:posOffset>
            </wp:positionV>
            <wp:extent cx="3232" cy="6464"/>
            <wp:effectExtent l="0" t="0" r="0" b="0"/>
            <wp:wrapSquare wrapText="bothSides"/>
            <wp:docPr id="5422" name="Picture 5422"/>
            <wp:cNvGraphicFramePr/>
            <a:graphic xmlns:a="http://schemas.openxmlformats.org/drawingml/2006/main">
              <a:graphicData uri="http://schemas.openxmlformats.org/drawingml/2006/picture">
                <pic:pic xmlns:pic="http://schemas.openxmlformats.org/drawingml/2006/picture">
                  <pic:nvPicPr>
                    <pic:cNvPr id="5422" name="Picture 5422"/>
                    <pic:cNvPicPr/>
                  </pic:nvPicPr>
                  <pic:blipFill>
                    <a:blip r:embed="rId10"/>
                    <a:stretch>
                      <a:fillRect/>
                    </a:stretch>
                  </pic:blipFill>
                  <pic:spPr>
                    <a:xfrm>
                      <a:off x="0" y="0"/>
                      <a:ext cx="3232" cy="6464"/>
                    </a:xfrm>
                    <a:prstGeom prst="rect">
                      <a:avLst/>
                    </a:prstGeom>
                  </pic:spPr>
                </pic:pic>
              </a:graphicData>
            </a:graphic>
          </wp:anchor>
        </w:drawing>
      </w:r>
      <w:r>
        <w:rPr>
          <w:sz w:val="24"/>
        </w:rPr>
        <w:t xml:space="preserve">As a </w:t>
      </w:r>
      <w:proofErr w:type="gramStart"/>
      <w:r>
        <w:rPr>
          <w:sz w:val="24"/>
        </w:rPr>
        <w:t>result</w:t>
      </w:r>
      <w:proofErr w:type="gramEnd"/>
      <w:r>
        <w:rPr>
          <w:sz w:val="24"/>
        </w:rPr>
        <w:t xml:space="preserve"> a directive is issued to review the mines safety and health management system documents that provide for compliance with Regulation 89, and Recognised Standard 14. This needs to ensure that these documents includ</w:t>
      </w:r>
      <w:r>
        <w:rPr>
          <w:sz w:val="24"/>
        </w:rPr>
        <w:t>e mechanisms for effective personal respirable dust monitoring and the submission of results in accordance with the regulatory timeframes. You are also requested to attend a meeting with the Mines Inspectorate at 1 William Street at 10:00am on Tuesday 15</w:t>
      </w:r>
      <w:r>
        <w:rPr>
          <w:sz w:val="24"/>
          <w:vertAlign w:val="superscript"/>
        </w:rPr>
        <w:t>th</w:t>
      </w:r>
      <w:r>
        <w:rPr>
          <w:sz w:val="24"/>
          <w:vertAlign w:val="superscript"/>
        </w:rPr>
        <w:t xml:space="preserve"> </w:t>
      </w:r>
      <w:r>
        <w:rPr>
          <w:sz w:val="24"/>
        </w:rPr>
        <w:t>August to explain why this non-compliance occurred and what immediate actions are being implemented to prevent a recurrence of this.</w:t>
      </w:r>
    </w:p>
    <w:p w14:paraId="19423E4E" w14:textId="77777777" w:rsidR="009B36D3" w:rsidRDefault="00AB53A6">
      <w:pPr>
        <w:tabs>
          <w:tab w:val="center" w:pos="4624"/>
          <w:tab w:val="right" w:pos="9315"/>
        </w:tabs>
        <w:spacing w:after="0"/>
      </w:pPr>
      <w:r>
        <w:rPr>
          <w:sz w:val="26"/>
          <w:u w:val="single" w:color="000000"/>
        </w:rPr>
        <w:t>Number</w:t>
      </w:r>
      <w:r>
        <w:rPr>
          <w:sz w:val="26"/>
          <w:u w:val="single" w:color="000000"/>
        </w:rPr>
        <w:tab/>
        <w:t>Directive</w:t>
      </w:r>
      <w:r>
        <w:rPr>
          <w:sz w:val="26"/>
          <w:u w:val="single" w:color="000000"/>
        </w:rPr>
        <w:tab/>
        <w:t>Due Date</w:t>
      </w:r>
    </w:p>
    <w:p w14:paraId="1D5CEF6F" w14:textId="77777777" w:rsidR="009B36D3" w:rsidRDefault="00AB53A6">
      <w:pPr>
        <w:spacing w:after="114"/>
        <w:ind w:right="68"/>
        <w:jc w:val="center"/>
      </w:pPr>
      <w:r>
        <w:rPr>
          <w:sz w:val="18"/>
        </w:rPr>
        <w:t>Pursuant to section 168 of the Coal Mining Safety and Health Act 1999</w:t>
      </w:r>
    </w:p>
    <w:p w14:paraId="115A388A" w14:textId="77777777" w:rsidR="009B36D3" w:rsidRDefault="00AB53A6">
      <w:pPr>
        <w:pStyle w:val="Heading2"/>
        <w:tabs>
          <w:tab w:val="center" w:pos="565"/>
          <w:tab w:val="center" w:pos="2679"/>
          <w:tab w:val="right" w:pos="9315"/>
        </w:tabs>
        <w:spacing w:after="0" w:line="259" w:lineRule="auto"/>
        <w:jc w:val="left"/>
      </w:pPr>
      <w:r>
        <w:tab/>
      </w:r>
      <w:r>
        <w:t>1</w:t>
      </w:r>
      <w:r>
        <w:tab/>
      </w:r>
      <w:r>
        <w:t>Respirable Dust Monitor</w:t>
      </w:r>
      <w:r>
        <w:t>ing</w:t>
      </w:r>
      <w:r>
        <w:tab/>
      </w:r>
      <w:r>
        <w:t>15/08/2017</w:t>
      </w:r>
    </w:p>
    <w:p w14:paraId="4D37B6FC" w14:textId="77777777" w:rsidR="009B36D3" w:rsidRDefault="00AB53A6">
      <w:pPr>
        <w:spacing w:after="120" w:line="216" w:lineRule="auto"/>
        <w:ind w:left="10" w:right="114" w:hanging="5"/>
        <w:jc w:val="both"/>
      </w:pPr>
      <w:r>
        <w:rPr>
          <w:sz w:val="24"/>
        </w:rPr>
        <w:t>To Review the mines safety and health management system documents that provide for compliance with Regulation 89, and Recognised Standard 14. This needs to ensure that these documents include mechanisms for effective personal respirable dust</w:t>
      </w:r>
      <w:r>
        <w:rPr>
          <w:sz w:val="24"/>
        </w:rPr>
        <w:t xml:space="preserve"> monitoring and the submission of results in accordance with the regulatory timeframes.</w:t>
      </w:r>
    </w:p>
    <w:p w14:paraId="6D73CBDE" w14:textId="77777777" w:rsidR="009B36D3" w:rsidRDefault="00AB53A6">
      <w:pPr>
        <w:spacing w:after="139" w:line="216" w:lineRule="auto"/>
        <w:ind w:left="-122" w:hanging="10"/>
        <w:jc w:val="center"/>
      </w:pPr>
      <w:r>
        <w:rPr>
          <w:sz w:val="28"/>
        </w:rPr>
        <w:t xml:space="preserve">Please provide a </w:t>
      </w:r>
      <w:proofErr w:type="spellStart"/>
      <w:r>
        <w:rPr>
          <w:sz w:val="28"/>
        </w:rPr>
        <w:t>wr</w:t>
      </w:r>
      <w:proofErr w:type="spellEnd"/>
      <w:r>
        <w:rPr>
          <w:sz w:val="28"/>
        </w:rPr>
        <w:t xml:space="preserve">- </w:t>
      </w:r>
      <w:proofErr w:type="spellStart"/>
      <w:r>
        <w:rPr>
          <w:sz w:val="28"/>
        </w:rPr>
        <w:t>en</w:t>
      </w:r>
      <w:proofErr w:type="spellEnd"/>
      <w:r>
        <w:rPr>
          <w:sz w:val="28"/>
        </w:rPr>
        <w:t xml:space="preserve"> status </w:t>
      </w:r>
      <w:proofErr w:type="spellStart"/>
      <w:r>
        <w:rPr>
          <w:sz w:val="28"/>
        </w:rPr>
        <w:t>repotf</w:t>
      </w:r>
      <w:proofErr w:type="spellEnd"/>
      <w:r>
        <w:rPr>
          <w:sz w:val="28"/>
        </w:rPr>
        <w:t xml:space="preserve"> on each Directive together with the actions taken </w:t>
      </w:r>
      <w:r>
        <w:rPr>
          <w:noProof/>
        </w:rPr>
        <w:drawing>
          <wp:inline distT="0" distB="0" distL="0" distR="0" wp14:anchorId="0AB439FD" wp14:editId="3F215320">
            <wp:extent cx="1463943" cy="381348"/>
            <wp:effectExtent l="0" t="0" r="0" b="0"/>
            <wp:docPr id="5542" name="Picture 5542"/>
            <wp:cNvGraphicFramePr/>
            <a:graphic xmlns:a="http://schemas.openxmlformats.org/drawingml/2006/main">
              <a:graphicData uri="http://schemas.openxmlformats.org/drawingml/2006/picture">
                <pic:pic xmlns:pic="http://schemas.openxmlformats.org/drawingml/2006/picture">
                  <pic:nvPicPr>
                    <pic:cNvPr id="5542" name="Picture 5542"/>
                    <pic:cNvPicPr/>
                  </pic:nvPicPr>
                  <pic:blipFill>
                    <a:blip r:embed="rId11"/>
                    <a:stretch>
                      <a:fillRect/>
                    </a:stretch>
                  </pic:blipFill>
                  <pic:spPr>
                    <a:xfrm>
                      <a:off x="0" y="0"/>
                      <a:ext cx="1463943" cy="381348"/>
                    </a:xfrm>
                    <a:prstGeom prst="rect">
                      <a:avLst/>
                    </a:prstGeom>
                  </pic:spPr>
                </pic:pic>
              </a:graphicData>
            </a:graphic>
          </wp:inline>
        </w:drawing>
      </w:r>
      <w:r>
        <w:rPr>
          <w:sz w:val="28"/>
        </w:rPr>
        <w:tab/>
        <w:t xml:space="preserve">to address each item by their due </w:t>
      </w:r>
      <w:proofErr w:type="gramStart"/>
      <w:r>
        <w:rPr>
          <w:sz w:val="28"/>
        </w:rPr>
        <w:t>dates</w:t>
      </w:r>
      <w:proofErr w:type="gramEnd"/>
    </w:p>
    <w:p w14:paraId="0E60FA30" w14:textId="77777777" w:rsidR="009B36D3" w:rsidRDefault="00AB53A6">
      <w:pPr>
        <w:spacing w:after="0"/>
        <w:ind w:left="31" w:hanging="10"/>
      </w:pPr>
      <w:r>
        <w:rPr>
          <w:sz w:val="26"/>
        </w:rPr>
        <w:t>Les Marlborough</w:t>
      </w:r>
    </w:p>
    <w:p w14:paraId="396AC4B3" w14:textId="77777777" w:rsidR="009B36D3" w:rsidRDefault="00AB53A6">
      <w:pPr>
        <w:spacing w:after="78" w:line="216" w:lineRule="auto"/>
        <w:ind w:left="89" w:right="33" w:firstLine="5"/>
      </w:pPr>
      <w:r>
        <w:rPr>
          <w:sz w:val="24"/>
        </w:rPr>
        <w:t>Inspector of Mines</w:t>
      </w:r>
      <w:r>
        <w:rPr>
          <w:noProof/>
        </w:rPr>
        <w:drawing>
          <wp:inline distT="0" distB="0" distL="0" distR="0" wp14:anchorId="7C7ED45B" wp14:editId="28A5A949">
            <wp:extent cx="3232" cy="3232"/>
            <wp:effectExtent l="0" t="0" r="0" b="0"/>
            <wp:docPr id="5424" name="Picture 5424"/>
            <wp:cNvGraphicFramePr/>
            <a:graphic xmlns:a="http://schemas.openxmlformats.org/drawingml/2006/main">
              <a:graphicData uri="http://schemas.openxmlformats.org/drawingml/2006/picture">
                <pic:pic xmlns:pic="http://schemas.openxmlformats.org/drawingml/2006/picture">
                  <pic:nvPicPr>
                    <pic:cNvPr id="5424" name="Picture 5424"/>
                    <pic:cNvPicPr/>
                  </pic:nvPicPr>
                  <pic:blipFill>
                    <a:blip r:embed="rId12"/>
                    <a:stretch>
                      <a:fillRect/>
                    </a:stretch>
                  </pic:blipFill>
                  <pic:spPr>
                    <a:xfrm>
                      <a:off x="0" y="0"/>
                      <a:ext cx="3232" cy="3232"/>
                    </a:xfrm>
                    <a:prstGeom prst="rect">
                      <a:avLst/>
                    </a:prstGeom>
                  </pic:spPr>
                </pic:pic>
              </a:graphicData>
            </a:graphic>
          </wp:inline>
        </w:drawing>
      </w:r>
    </w:p>
    <w:p w14:paraId="5008E8E2" w14:textId="77777777" w:rsidR="009B36D3" w:rsidRDefault="009B36D3">
      <w:pPr>
        <w:sectPr w:rsidR="009B36D3">
          <w:pgSz w:w="11909" w:h="16841"/>
          <w:pgMar w:top="1598" w:right="1245" w:bottom="667" w:left="1349" w:header="720" w:footer="720" w:gutter="0"/>
          <w:cols w:space="720"/>
        </w:sectPr>
      </w:pPr>
    </w:p>
    <w:p w14:paraId="00DB087D" w14:textId="77777777" w:rsidR="009B36D3" w:rsidRDefault="00AB53A6">
      <w:pPr>
        <w:spacing w:after="3260" w:line="216" w:lineRule="auto"/>
        <w:ind w:right="33" w:firstLine="5"/>
      </w:pPr>
      <w:r>
        <w:rPr>
          <w:sz w:val="24"/>
        </w:rPr>
        <w:t>Central Region</w:t>
      </w:r>
    </w:p>
    <w:p w14:paraId="6DE1437A" w14:textId="77777777" w:rsidR="009B36D3" w:rsidRDefault="00AB53A6">
      <w:pPr>
        <w:tabs>
          <w:tab w:val="center" w:pos="4512"/>
          <w:tab w:val="right" w:pos="9013"/>
        </w:tabs>
        <w:spacing w:after="3"/>
        <w:ind w:left="-15"/>
      </w:pPr>
      <w:r>
        <w:rPr>
          <w:sz w:val="18"/>
        </w:rPr>
        <w:lastRenderedPageBreak/>
        <w:t>11/08/2017</w:t>
      </w:r>
      <w:r>
        <w:rPr>
          <w:sz w:val="18"/>
        </w:rPr>
        <w:tab/>
      </w:r>
      <w:r>
        <w:rPr>
          <w:sz w:val="18"/>
        </w:rPr>
        <w:t>Mine Record Entry</w:t>
      </w:r>
      <w:r>
        <w:rPr>
          <w:sz w:val="18"/>
        </w:rPr>
        <w:tab/>
        <w:t>Page 2 of 2</w:t>
      </w:r>
      <w:r>
        <w:rPr>
          <w:noProof/>
        </w:rPr>
        <w:drawing>
          <wp:inline distT="0" distB="0" distL="0" distR="0" wp14:anchorId="765C23AB" wp14:editId="47D14245">
            <wp:extent cx="6463" cy="6463"/>
            <wp:effectExtent l="0" t="0" r="0" b="0"/>
            <wp:docPr id="5425" name="Picture 5425"/>
            <wp:cNvGraphicFramePr/>
            <a:graphic xmlns:a="http://schemas.openxmlformats.org/drawingml/2006/main">
              <a:graphicData uri="http://schemas.openxmlformats.org/drawingml/2006/picture">
                <pic:pic xmlns:pic="http://schemas.openxmlformats.org/drawingml/2006/picture">
                  <pic:nvPicPr>
                    <pic:cNvPr id="5425" name="Picture 5425"/>
                    <pic:cNvPicPr/>
                  </pic:nvPicPr>
                  <pic:blipFill>
                    <a:blip r:embed="rId13"/>
                    <a:stretch>
                      <a:fillRect/>
                    </a:stretch>
                  </pic:blipFill>
                  <pic:spPr>
                    <a:xfrm>
                      <a:off x="0" y="0"/>
                      <a:ext cx="6463" cy="6463"/>
                    </a:xfrm>
                    <a:prstGeom prst="rect">
                      <a:avLst/>
                    </a:prstGeom>
                  </pic:spPr>
                </pic:pic>
              </a:graphicData>
            </a:graphic>
          </wp:inline>
        </w:drawing>
      </w:r>
    </w:p>
    <w:sectPr w:rsidR="009B36D3">
      <w:type w:val="continuous"/>
      <w:pgSz w:w="11909" w:h="16841"/>
      <w:pgMar w:top="1598" w:right="1512" w:bottom="599" w:left="13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D3"/>
    <w:rsid w:val="009B36D3"/>
    <w:rsid w:val="00AB5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E883"/>
  <w15:docId w15:val="{BDDFEDF9-1DD5-4538-AC95-4C826760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26"/>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11" w:line="216" w:lineRule="auto"/>
      <w:jc w:val="right"/>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2021-07-11T20:59:00Z</dcterms:created>
  <dcterms:modified xsi:type="dcterms:W3CDTF">2021-07-11T20:59:00Z</dcterms:modified>
</cp:coreProperties>
</file>