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394B" w14:textId="77777777" w:rsidR="00C45503" w:rsidRDefault="00624913">
      <w:pPr>
        <w:spacing w:after="148"/>
        <w:ind w:left="3359" w:hanging="10"/>
        <w:jc w:val="center"/>
      </w:pPr>
      <w:r>
        <w:rPr>
          <w:sz w:val="20"/>
        </w:rPr>
        <w:t>Mackay District Office</w:t>
      </w:r>
    </w:p>
    <w:p w14:paraId="4950C0C5" w14:textId="77777777" w:rsidR="00C45503" w:rsidRDefault="00624913">
      <w:pPr>
        <w:tabs>
          <w:tab w:val="center" w:pos="2568"/>
          <w:tab w:val="center" w:pos="7115"/>
        </w:tabs>
        <w:spacing w:after="895"/>
      </w:pPr>
      <w:r>
        <w:rPr>
          <w:noProof/>
        </w:rPr>
        <w:drawing>
          <wp:anchor distT="0" distB="0" distL="114300" distR="114300" simplePos="0" relativeHeight="251658240" behindDoc="0" locked="0" layoutInCell="1" allowOverlap="0" wp14:anchorId="411A8E1E" wp14:editId="32CAE419">
            <wp:simplePos x="0" y="0"/>
            <wp:positionH relativeFrom="column">
              <wp:posOffset>51707</wp:posOffset>
            </wp:positionH>
            <wp:positionV relativeFrom="paragraph">
              <wp:posOffset>61290</wp:posOffset>
            </wp:positionV>
            <wp:extent cx="5943025" cy="675439"/>
            <wp:effectExtent l="0" t="0" r="0" b="0"/>
            <wp:wrapSquare wrapText="bothSides"/>
            <wp:docPr id="16088" name="Picture 16088"/>
            <wp:cNvGraphicFramePr/>
            <a:graphic xmlns:a="http://schemas.openxmlformats.org/drawingml/2006/main">
              <a:graphicData uri="http://schemas.openxmlformats.org/drawingml/2006/picture">
                <pic:pic xmlns:pic="http://schemas.openxmlformats.org/drawingml/2006/picture">
                  <pic:nvPicPr>
                    <pic:cNvPr id="16088" name="Picture 16088"/>
                    <pic:cNvPicPr/>
                  </pic:nvPicPr>
                  <pic:blipFill>
                    <a:blip r:embed="rId7"/>
                    <a:stretch>
                      <a:fillRect/>
                    </a:stretch>
                  </pic:blipFill>
                  <pic:spPr>
                    <a:xfrm>
                      <a:off x="0" y="0"/>
                      <a:ext cx="5943025" cy="675439"/>
                    </a:xfrm>
                    <a:prstGeom prst="rect">
                      <a:avLst/>
                    </a:prstGeom>
                  </pic:spPr>
                </pic:pic>
              </a:graphicData>
            </a:graphic>
          </wp:anchor>
        </w:drawing>
      </w:r>
      <w:r>
        <w:rPr>
          <w:noProof/>
        </w:rPr>
        <w:drawing>
          <wp:anchor distT="0" distB="0" distL="114300" distR="114300" simplePos="0" relativeHeight="251659264" behindDoc="0" locked="0" layoutInCell="1" allowOverlap="0" wp14:anchorId="2C9D6CB3" wp14:editId="2E5FCBCC">
            <wp:simplePos x="0" y="0"/>
            <wp:positionH relativeFrom="column">
              <wp:posOffset>568772</wp:posOffset>
            </wp:positionH>
            <wp:positionV relativeFrom="paragraph">
              <wp:posOffset>161475</wp:posOffset>
            </wp:positionV>
            <wp:extent cx="3232" cy="6463"/>
            <wp:effectExtent l="0" t="0" r="0" b="0"/>
            <wp:wrapSquare wrapText="bothSides"/>
            <wp:docPr id="3010" name="Picture 3010"/>
            <wp:cNvGraphicFramePr/>
            <a:graphic xmlns:a="http://schemas.openxmlformats.org/drawingml/2006/main">
              <a:graphicData uri="http://schemas.openxmlformats.org/drawingml/2006/picture">
                <pic:pic xmlns:pic="http://schemas.openxmlformats.org/drawingml/2006/picture">
                  <pic:nvPicPr>
                    <pic:cNvPr id="3010" name="Picture 3010"/>
                    <pic:cNvPicPr/>
                  </pic:nvPicPr>
                  <pic:blipFill>
                    <a:blip r:embed="rId8"/>
                    <a:stretch>
                      <a:fillRect/>
                    </a:stretch>
                  </pic:blipFill>
                  <pic:spPr>
                    <a:xfrm>
                      <a:off x="0" y="0"/>
                      <a:ext cx="3232" cy="6463"/>
                    </a:xfrm>
                    <a:prstGeom prst="rect">
                      <a:avLst/>
                    </a:prstGeom>
                  </pic:spPr>
                </pic:pic>
              </a:graphicData>
            </a:graphic>
          </wp:anchor>
        </w:drawing>
      </w:r>
      <w:r>
        <w:rPr>
          <w:sz w:val="18"/>
        </w:rPr>
        <w:tab/>
        <w:t>Queensland Government</w:t>
      </w:r>
      <w:r>
        <w:rPr>
          <w:sz w:val="18"/>
        </w:rPr>
        <w:tab/>
        <w:t>P.O. Phone: Box (07) 1801, 4999 MACKAY 8512, Fax: QLD (07) 47404999 8519</w:t>
      </w:r>
    </w:p>
    <w:p w14:paraId="3A002D31" w14:textId="77777777" w:rsidR="00C45503" w:rsidRDefault="00624913">
      <w:pPr>
        <w:spacing w:after="332"/>
        <w:ind w:left="214" w:hanging="10"/>
        <w:jc w:val="center"/>
      </w:pPr>
      <w:r>
        <w:rPr>
          <w:sz w:val="20"/>
        </w:rPr>
        <w:t>Vision: Our Industries Free of Safety and Health Incidents</w:t>
      </w:r>
    </w:p>
    <w:p w14:paraId="33D292A8" w14:textId="77777777" w:rsidR="00C45503" w:rsidRDefault="00624913">
      <w:pPr>
        <w:pStyle w:val="Heading1"/>
      </w:pPr>
      <w:r>
        <w:t>Mine Record Entry</w:t>
      </w:r>
    </w:p>
    <w:p w14:paraId="3051196A" w14:textId="77777777" w:rsidR="00C45503" w:rsidRDefault="00624913">
      <w:pPr>
        <w:spacing w:after="47" w:line="216" w:lineRule="auto"/>
        <w:ind w:left="10" w:right="-168" w:hanging="10"/>
        <w:jc w:val="center"/>
      </w:pPr>
      <w:r>
        <w:rPr>
          <w:sz w:val="26"/>
        </w:rPr>
        <w:t>This report forms part of the Mine Record under s68 of the Coal Mining Safety and</w:t>
      </w:r>
    </w:p>
    <w:p w14:paraId="3248BDF1" w14:textId="77777777" w:rsidR="00C45503" w:rsidRDefault="00624913">
      <w:pPr>
        <w:spacing w:after="180" w:line="216" w:lineRule="auto"/>
        <w:ind w:left="10" w:hanging="10"/>
        <w:jc w:val="center"/>
      </w:pPr>
      <w:r>
        <w:rPr>
          <w:sz w:val="26"/>
        </w:rPr>
        <w:t>Health Act 1999. It must be placed in the Mine Record and displayed on Safety Notice Boards.</w:t>
      </w:r>
    </w:p>
    <w:p w14:paraId="2BAB9680" w14:textId="77777777" w:rsidR="00C45503" w:rsidRDefault="00624913">
      <w:pPr>
        <w:spacing w:after="582" w:line="216" w:lineRule="auto"/>
        <w:ind w:left="137" w:firstLine="102"/>
      </w:pPr>
      <w:r>
        <w:rPr>
          <w:sz w:val="26"/>
        </w:rPr>
        <w:t xml:space="preserve">Note that inspection or audit activities conducted by the Mines Inspectorate are </w:t>
      </w:r>
      <w:r>
        <w:rPr>
          <w:sz w:val="26"/>
        </w:rPr>
        <w:t xml:space="preserve">based </w:t>
      </w:r>
      <w:r>
        <w:rPr>
          <w:sz w:val="26"/>
        </w:rPr>
        <w:t xml:space="preserve">upon sample techniques, </w:t>
      </w:r>
      <w:proofErr w:type="gramStart"/>
      <w:r>
        <w:rPr>
          <w:sz w:val="26"/>
        </w:rPr>
        <w:t>It</w:t>
      </w:r>
      <w:proofErr w:type="gramEnd"/>
      <w:r>
        <w:rPr>
          <w:sz w:val="26"/>
        </w:rPr>
        <w:t xml:space="preserve"> remains the primary responsibility of Mine Personnel to identify hazards, and risks associated with Operations and ensure those risks are at an acceptable level</w:t>
      </w:r>
    </w:p>
    <w:p w14:paraId="70B97F11" w14:textId="77777777" w:rsidR="00C45503" w:rsidRDefault="00624913">
      <w:pPr>
        <w:spacing w:after="278" w:line="223" w:lineRule="auto"/>
        <w:ind w:left="72" w:right="316"/>
        <w:jc w:val="both"/>
      </w:pPr>
      <w:r>
        <w:rPr>
          <w:sz w:val="24"/>
        </w:rPr>
        <w:t>I, Mr Leslie Marlborough, Inspector of Mines, issued a Directi</w:t>
      </w:r>
      <w:r>
        <w:rPr>
          <w:sz w:val="24"/>
        </w:rPr>
        <w:t xml:space="preserve">ve to the mine on 17/09/2017 </w:t>
      </w:r>
      <w:r>
        <w:rPr>
          <w:noProof/>
        </w:rPr>
        <w:drawing>
          <wp:inline distT="0" distB="0" distL="0" distR="0" wp14:anchorId="2C1A1080" wp14:editId="7EF7CB99">
            <wp:extent cx="3232" cy="6463"/>
            <wp:effectExtent l="0" t="0" r="0" b="0"/>
            <wp:docPr id="3011" name="Picture 3011"/>
            <wp:cNvGraphicFramePr/>
            <a:graphic xmlns:a="http://schemas.openxmlformats.org/drawingml/2006/main">
              <a:graphicData uri="http://schemas.openxmlformats.org/drawingml/2006/picture">
                <pic:pic xmlns:pic="http://schemas.openxmlformats.org/drawingml/2006/picture">
                  <pic:nvPicPr>
                    <pic:cNvPr id="3011" name="Picture 3011"/>
                    <pic:cNvPicPr/>
                  </pic:nvPicPr>
                  <pic:blipFill>
                    <a:blip r:embed="rId9"/>
                    <a:stretch>
                      <a:fillRect/>
                    </a:stretch>
                  </pic:blipFill>
                  <pic:spPr>
                    <a:xfrm>
                      <a:off x="0" y="0"/>
                      <a:ext cx="3232" cy="6463"/>
                    </a:xfrm>
                    <a:prstGeom prst="rect">
                      <a:avLst/>
                    </a:prstGeom>
                  </pic:spPr>
                </pic:pic>
              </a:graphicData>
            </a:graphic>
          </wp:inline>
        </w:drawing>
      </w:r>
      <w:r>
        <w:rPr>
          <w:sz w:val="24"/>
        </w:rPr>
        <w:t xml:space="preserve">for the mine to review the GRO-750-TARP-General Body Contaminant and the controls in place to ensure that the above points are addressed, with supporting data from the mine's gas monitoring system to ensure that an acceptable </w:t>
      </w:r>
      <w:r>
        <w:rPr>
          <w:sz w:val="24"/>
        </w:rPr>
        <w:t>level of risk is achieved.</w:t>
      </w:r>
    </w:p>
    <w:p w14:paraId="174CB5D3" w14:textId="77777777" w:rsidR="00C45503" w:rsidRDefault="00624913">
      <w:pPr>
        <w:spacing w:after="278" w:line="223" w:lineRule="auto"/>
        <w:ind w:left="72" w:right="41"/>
        <w:jc w:val="both"/>
      </w:pPr>
      <w:r>
        <w:rPr>
          <w:sz w:val="24"/>
        </w:rPr>
        <w:t>Mr Garde responded to this Directive on Tuesday 3 October 2017. The following are my comments regarding the response by Mr Garde.</w:t>
      </w:r>
    </w:p>
    <w:p w14:paraId="74E822DC" w14:textId="77777777" w:rsidR="00C45503" w:rsidRDefault="00624913">
      <w:pPr>
        <w:spacing w:after="8" w:line="223" w:lineRule="auto"/>
        <w:ind w:left="72" w:right="361"/>
        <w:jc w:val="both"/>
      </w:pPr>
      <w:r>
        <w:rPr>
          <w:sz w:val="24"/>
        </w:rPr>
        <w:t>The context and scope of the risk assessment is stated to identify energy hazards, potential unwant</w:t>
      </w:r>
      <w:r>
        <w:rPr>
          <w:sz w:val="24"/>
        </w:rPr>
        <w:t xml:space="preserve">ed </w:t>
      </w:r>
      <w:proofErr w:type="gramStart"/>
      <w:r>
        <w:rPr>
          <w:sz w:val="24"/>
        </w:rPr>
        <w:t>events</w:t>
      </w:r>
      <w:proofErr w:type="gramEnd"/>
      <w:r>
        <w:rPr>
          <w:sz w:val="24"/>
        </w:rPr>
        <w:t xml:space="preserve"> and control measures to reduce the risk exposure associated with Longwall </w:t>
      </w:r>
      <w:r>
        <w:rPr>
          <w:noProof/>
        </w:rPr>
        <w:drawing>
          <wp:inline distT="0" distB="0" distL="0" distR="0" wp14:anchorId="034AA944" wp14:editId="624C52C5">
            <wp:extent cx="3232" cy="6464"/>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a:off x="0" y="0"/>
                      <a:ext cx="3232" cy="6464"/>
                    </a:xfrm>
                    <a:prstGeom prst="rect">
                      <a:avLst/>
                    </a:prstGeom>
                  </pic:spPr>
                </pic:pic>
              </a:graphicData>
            </a:graphic>
          </wp:inline>
        </w:drawing>
      </w:r>
      <w:r>
        <w:rPr>
          <w:sz w:val="24"/>
        </w:rPr>
        <w:t>TG Return Methane Levels (including the shearer movements entering and leaving the TG).</w:t>
      </w:r>
    </w:p>
    <w:p w14:paraId="088E4F81" w14:textId="77777777" w:rsidR="00C45503" w:rsidRDefault="00624913">
      <w:pPr>
        <w:spacing w:after="278" w:line="223" w:lineRule="auto"/>
        <w:ind w:left="72" w:right="229"/>
        <w:jc w:val="both"/>
      </w:pPr>
      <w:r>
        <w:rPr>
          <w:sz w:val="24"/>
        </w:rPr>
        <w:t xml:space="preserve">The risk assessment does not mention the risk of an ignition of Methane as a potential hazard. </w:t>
      </w:r>
      <w:r>
        <w:rPr>
          <w:noProof/>
        </w:rPr>
        <w:drawing>
          <wp:inline distT="0" distB="0" distL="0" distR="0" wp14:anchorId="25102AD5" wp14:editId="784800FF">
            <wp:extent cx="3232" cy="3232"/>
            <wp:effectExtent l="0" t="0" r="0" b="0"/>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11"/>
                    <a:stretch>
                      <a:fillRect/>
                    </a:stretch>
                  </pic:blipFill>
                  <pic:spPr>
                    <a:xfrm>
                      <a:off x="0" y="0"/>
                      <a:ext cx="3232" cy="3232"/>
                    </a:xfrm>
                    <a:prstGeom prst="rect">
                      <a:avLst/>
                    </a:prstGeom>
                  </pic:spPr>
                </pic:pic>
              </a:graphicData>
            </a:graphic>
          </wp:inline>
        </w:drawing>
      </w:r>
      <w:r>
        <w:rPr>
          <w:sz w:val="24"/>
        </w:rPr>
        <w:t xml:space="preserve">This </w:t>
      </w:r>
      <w:proofErr w:type="gramStart"/>
      <w:r>
        <w:rPr>
          <w:sz w:val="24"/>
        </w:rPr>
        <w:t>has to</w:t>
      </w:r>
      <w:proofErr w:type="gramEnd"/>
      <w:r>
        <w:rPr>
          <w:sz w:val="24"/>
        </w:rPr>
        <w:t xml:space="preserve"> be a major hazard when considering Methane levels of in the TG, as the primary source of the methane is the Longwall goaf gas, which inevitably will</w:t>
      </w:r>
      <w:r>
        <w:rPr>
          <w:sz w:val="24"/>
        </w:rPr>
        <w:t xml:space="preserve"> flow in the </w:t>
      </w:r>
      <w:r>
        <w:rPr>
          <w:noProof/>
        </w:rPr>
        <w:drawing>
          <wp:inline distT="0" distB="0" distL="0" distR="0" wp14:anchorId="7D5B2BBF" wp14:editId="2DAA3AFE">
            <wp:extent cx="3232" cy="3232"/>
            <wp:effectExtent l="0" t="0" r="0" b="0"/>
            <wp:docPr id="3014" name="Picture 3014"/>
            <wp:cNvGraphicFramePr/>
            <a:graphic xmlns:a="http://schemas.openxmlformats.org/drawingml/2006/main">
              <a:graphicData uri="http://schemas.openxmlformats.org/drawingml/2006/picture">
                <pic:pic xmlns:pic="http://schemas.openxmlformats.org/drawingml/2006/picture">
                  <pic:nvPicPr>
                    <pic:cNvPr id="3014" name="Picture 3014"/>
                    <pic:cNvPicPr/>
                  </pic:nvPicPr>
                  <pic:blipFill>
                    <a:blip r:embed="rId12"/>
                    <a:stretch>
                      <a:fillRect/>
                    </a:stretch>
                  </pic:blipFill>
                  <pic:spPr>
                    <a:xfrm>
                      <a:off x="0" y="0"/>
                      <a:ext cx="3232" cy="3232"/>
                    </a:xfrm>
                    <a:prstGeom prst="rect">
                      <a:avLst/>
                    </a:prstGeom>
                  </pic:spPr>
                </pic:pic>
              </a:graphicData>
            </a:graphic>
          </wp:inline>
        </w:drawing>
      </w:r>
      <w:r>
        <w:rPr>
          <w:sz w:val="24"/>
        </w:rPr>
        <w:t>vicinity of the chain pillar rib line.</w:t>
      </w:r>
    </w:p>
    <w:p w14:paraId="568CCBD2" w14:textId="77777777" w:rsidR="00C45503" w:rsidRDefault="00624913">
      <w:pPr>
        <w:spacing w:after="278" w:line="223" w:lineRule="auto"/>
        <w:ind w:left="72" w:right="290"/>
        <w:jc w:val="both"/>
      </w:pPr>
      <w:r>
        <w:rPr>
          <w:sz w:val="24"/>
        </w:rPr>
        <w:t>The sketch below shows a typical layout when the LW Shearer is in the TG end of the Longwall. The Methane monitor on the TG Drive, is typically positioned above the TG AFC motor and is 3-5 m from the end</w:t>
      </w:r>
      <w:r>
        <w:rPr>
          <w:sz w:val="24"/>
        </w:rPr>
        <w:t xml:space="preserve"> of the AFC. The shearer Methane monitor is typically situated in the middle of the shearer on the goaf side of the shearer.</w:t>
      </w:r>
    </w:p>
    <w:p w14:paraId="72742DD3" w14:textId="77777777" w:rsidR="00C45503" w:rsidRDefault="00624913">
      <w:pPr>
        <w:spacing w:after="1" w:line="223" w:lineRule="auto"/>
        <w:ind w:left="72" w:right="41"/>
        <w:jc w:val="both"/>
      </w:pPr>
      <w:r>
        <w:rPr>
          <w:sz w:val="24"/>
        </w:rPr>
        <w:t>As can be seen from the sketch, when there is a situation with greater than 2,5% Methane in the TG general body, the Methane readin</w:t>
      </w:r>
      <w:r>
        <w:rPr>
          <w:sz w:val="24"/>
        </w:rPr>
        <w:t xml:space="preserve">g on the TG AFC and Shearer monitors are typically 0.5% </w:t>
      </w:r>
      <w:r>
        <w:rPr>
          <w:noProof/>
        </w:rPr>
        <w:drawing>
          <wp:inline distT="0" distB="0" distL="0" distR="0" wp14:anchorId="76A5FECF" wp14:editId="592D318D">
            <wp:extent cx="3232" cy="64636"/>
            <wp:effectExtent l="0" t="0" r="0" b="0"/>
            <wp:docPr id="16090" name="Picture 16090"/>
            <wp:cNvGraphicFramePr/>
            <a:graphic xmlns:a="http://schemas.openxmlformats.org/drawingml/2006/main">
              <a:graphicData uri="http://schemas.openxmlformats.org/drawingml/2006/picture">
                <pic:pic xmlns:pic="http://schemas.openxmlformats.org/drawingml/2006/picture">
                  <pic:nvPicPr>
                    <pic:cNvPr id="16090" name="Picture 16090"/>
                    <pic:cNvPicPr/>
                  </pic:nvPicPr>
                  <pic:blipFill>
                    <a:blip r:embed="rId13"/>
                    <a:stretch>
                      <a:fillRect/>
                    </a:stretch>
                  </pic:blipFill>
                  <pic:spPr>
                    <a:xfrm>
                      <a:off x="0" y="0"/>
                      <a:ext cx="3232" cy="64636"/>
                    </a:xfrm>
                    <a:prstGeom prst="rect">
                      <a:avLst/>
                    </a:prstGeom>
                  </pic:spPr>
                </pic:pic>
              </a:graphicData>
            </a:graphic>
          </wp:inline>
        </w:drawing>
      </w:r>
      <w:r>
        <w:rPr>
          <w:sz w:val="24"/>
        </w:rPr>
        <w:t xml:space="preserve">or less. This means that the bulk of the Methane reporting to the Tailgate Roadway is being </w:t>
      </w:r>
      <w:r>
        <w:rPr>
          <w:noProof/>
        </w:rPr>
        <w:drawing>
          <wp:inline distT="0" distB="0" distL="0" distR="0" wp14:anchorId="35D2CCDC" wp14:editId="7309D734">
            <wp:extent cx="3232" cy="6463"/>
            <wp:effectExtent l="0" t="0" r="0" b="0"/>
            <wp:docPr id="3017" name="Picture 3017"/>
            <wp:cNvGraphicFramePr/>
            <a:graphic xmlns:a="http://schemas.openxmlformats.org/drawingml/2006/main">
              <a:graphicData uri="http://schemas.openxmlformats.org/drawingml/2006/picture">
                <pic:pic xmlns:pic="http://schemas.openxmlformats.org/drawingml/2006/picture">
                  <pic:nvPicPr>
                    <pic:cNvPr id="3017" name="Picture 3017"/>
                    <pic:cNvPicPr/>
                  </pic:nvPicPr>
                  <pic:blipFill>
                    <a:blip r:embed="rId14"/>
                    <a:stretch>
                      <a:fillRect/>
                    </a:stretch>
                  </pic:blipFill>
                  <pic:spPr>
                    <a:xfrm>
                      <a:off x="0" y="0"/>
                      <a:ext cx="3232" cy="6463"/>
                    </a:xfrm>
                    <a:prstGeom prst="rect">
                      <a:avLst/>
                    </a:prstGeom>
                  </pic:spPr>
                </pic:pic>
              </a:graphicData>
            </a:graphic>
          </wp:inline>
        </w:drawing>
      </w:r>
      <w:r>
        <w:rPr>
          <w:sz w:val="24"/>
        </w:rPr>
        <w:t xml:space="preserve">swept out from the goaf fringe by the air stream that is deflected round the shearer as it </w:t>
      </w:r>
      <w:r>
        <w:rPr>
          <w:sz w:val="24"/>
        </w:rPr>
        <w:lastRenderedPageBreak/>
        <w:t>travels into th</w:t>
      </w:r>
      <w:r>
        <w:rPr>
          <w:sz w:val="24"/>
        </w:rPr>
        <w:t xml:space="preserve">e TG end. It will be highly likely that this Methane rich air stream will be </w:t>
      </w:r>
      <w:proofErr w:type="gramStart"/>
      <w:r>
        <w:rPr>
          <w:sz w:val="24"/>
        </w:rPr>
        <w:t>in excess of</w:t>
      </w:r>
      <w:proofErr w:type="gramEnd"/>
    </w:p>
    <w:p w14:paraId="6E0EDF20" w14:textId="77777777" w:rsidR="00C45503" w:rsidRDefault="00624913">
      <w:pPr>
        <w:spacing w:after="37" w:line="223" w:lineRule="auto"/>
        <w:ind w:left="72" w:right="41"/>
        <w:jc w:val="both"/>
      </w:pPr>
      <w:r>
        <w:rPr>
          <w:noProof/>
        </w:rPr>
        <w:drawing>
          <wp:inline distT="0" distB="0" distL="0" distR="0" wp14:anchorId="5B91EA70" wp14:editId="07DBB0F8">
            <wp:extent cx="3232" cy="3232"/>
            <wp:effectExtent l="0" t="0" r="0" b="0"/>
            <wp:docPr id="3018" name="Picture 3018"/>
            <wp:cNvGraphicFramePr/>
            <a:graphic xmlns:a="http://schemas.openxmlformats.org/drawingml/2006/main">
              <a:graphicData uri="http://schemas.openxmlformats.org/drawingml/2006/picture">
                <pic:pic xmlns:pic="http://schemas.openxmlformats.org/drawingml/2006/picture">
                  <pic:nvPicPr>
                    <pic:cNvPr id="3018" name="Picture 3018"/>
                    <pic:cNvPicPr/>
                  </pic:nvPicPr>
                  <pic:blipFill>
                    <a:blip r:embed="rId15"/>
                    <a:stretch>
                      <a:fillRect/>
                    </a:stretch>
                  </pic:blipFill>
                  <pic:spPr>
                    <a:xfrm>
                      <a:off x="0" y="0"/>
                      <a:ext cx="3232" cy="3232"/>
                    </a:xfrm>
                    <a:prstGeom prst="rect">
                      <a:avLst/>
                    </a:prstGeom>
                  </pic:spPr>
                </pic:pic>
              </a:graphicData>
            </a:graphic>
          </wp:inline>
        </w:drawing>
      </w:r>
      <w:r>
        <w:rPr>
          <w:sz w:val="24"/>
        </w:rPr>
        <w:t xml:space="preserve">5% Methane and will flow over the TG shearer drum, which normally </w:t>
      </w:r>
      <w:proofErr w:type="gramStart"/>
      <w:r>
        <w:rPr>
          <w:sz w:val="24"/>
        </w:rPr>
        <w:t>has to</w:t>
      </w:r>
      <w:proofErr w:type="gramEnd"/>
      <w:r>
        <w:rPr>
          <w:sz w:val="24"/>
        </w:rPr>
        <w:t xml:space="preserve"> cut approximately</w:t>
      </w:r>
      <w:r>
        <w:rPr>
          <w:noProof/>
        </w:rPr>
        <w:drawing>
          <wp:inline distT="0" distB="0" distL="0" distR="0" wp14:anchorId="1220CB40" wp14:editId="0F220FB9">
            <wp:extent cx="6463" cy="6463"/>
            <wp:effectExtent l="0" t="0" r="0" b="0"/>
            <wp:docPr id="3019" name="Picture 3019"/>
            <wp:cNvGraphicFramePr/>
            <a:graphic xmlns:a="http://schemas.openxmlformats.org/drawingml/2006/main">
              <a:graphicData uri="http://schemas.openxmlformats.org/drawingml/2006/picture">
                <pic:pic xmlns:pic="http://schemas.openxmlformats.org/drawingml/2006/picture">
                  <pic:nvPicPr>
                    <pic:cNvPr id="3019" name="Picture 3019"/>
                    <pic:cNvPicPr/>
                  </pic:nvPicPr>
                  <pic:blipFill>
                    <a:blip r:embed="rId16"/>
                    <a:stretch>
                      <a:fillRect/>
                    </a:stretch>
                  </pic:blipFill>
                  <pic:spPr>
                    <a:xfrm>
                      <a:off x="0" y="0"/>
                      <a:ext cx="6463" cy="6463"/>
                    </a:xfrm>
                    <a:prstGeom prst="rect">
                      <a:avLst/>
                    </a:prstGeom>
                  </pic:spPr>
                </pic:pic>
              </a:graphicData>
            </a:graphic>
          </wp:inline>
        </w:drawing>
      </w:r>
    </w:p>
    <w:p w14:paraId="4B92C8FC" w14:textId="77777777" w:rsidR="00C45503" w:rsidRDefault="00624913">
      <w:pPr>
        <w:spacing w:after="278" w:line="223" w:lineRule="auto"/>
        <w:ind w:left="72" w:right="41"/>
        <w:jc w:val="both"/>
      </w:pPr>
      <w:r>
        <w:rPr>
          <w:noProof/>
        </w:rPr>
        <w:drawing>
          <wp:inline distT="0" distB="0" distL="0" distR="0" wp14:anchorId="28C1EBE6" wp14:editId="3283992B">
            <wp:extent cx="3232" cy="3232"/>
            <wp:effectExtent l="0" t="0" r="0" b="0"/>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17"/>
                    <a:stretch>
                      <a:fillRect/>
                    </a:stretch>
                  </pic:blipFill>
                  <pic:spPr>
                    <a:xfrm>
                      <a:off x="0" y="0"/>
                      <a:ext cx="3232" cy="3232"/>
                    </a:xfrm>
                    <a:prstGeom prst="rect">
                      <a:avLst/>
                    </a:prstGeom>
                  </pic:spPr>
                </pic:pic>
              </a:graphicData>
            </a:graphic>
          </wp:inline>
        </w:drawing>
      </w:r>
      <w:r>
        <w:rPr>
          <w:sz w:val="24"/>
        </w:rPr>
        <w:t xml:space="preserve">1.5 m beyond the end of the TG AFC Drive to trim the floor to allow the </w:t>
      </w:r>
      <w:r>
        <w:rPr>
          <w:sz w:val="24"/>
        </w:rPr>
        <w:t>drive to be advanced.</w:t>
      </w:r>
    </w:p>
    <w:p w14:paraId="593536D9" w14:textId="77777777" w:rsidR="00C45503" w:rsidRDefault="00624913">
      <w:pPr>
        <w:spacing w:after="193"/>
        <w:ind w:left="15"/>
      </w:pPr>
      <w:r>
        <w:rPr>
          <w:noProof/>
        </w:rPr>
        <w:drawing>
          <wp:inline distT="0" distB="0" distL="0" distR="0" wp14:anchorId="7D97CC73" wp14:editId="438B6312">
            <wp:extent cx="4553411" cy="2666206"/>
            <wp:effectExtent l="0" t="0" r="0" b="0"/>
            <wp:docPr id="8761" name="Picture 8761"/>
            <wp:cNvGraphicFramePr/>
            <a:graphic xmlns:a="http://schemas.openxmlformats.org/drawingml/2006/main">
              <a:graphicData uri="http://schemas.openxmlformats.org/drawingml/2006/picture">
                <pic:pic xmlns:pic="http://schemas.openxmlformats.org/drawingml/2006/picture">
                  <pic:nvPicPr>
                    <pic:cNvPr id="8761" name="Picture 8761"/>
                    <pic:cNvPicPr/>
                  </pic:nvPicPr>
                  <pic:blipFill>
                    <a:blip r:embed="rId18"/>
                    <a:stretch>
                      <a:fillRect/>
                    </a:stretch>
                  </pic:blipFill>
                  <pic:spPr>
                    <a:xfrm>
                      <a:off x="0" y="0"/>
                      <a:ext cx="4553411" cy="2666206"/>
                    </a:xfrm>
                    <a:prstGeom prst="rect">
                      <a:avLst/>
                    </a:prstGeom>
                  </pic:spPr>
                </pic:pic>
              </a:graphicData>
            </a:graphic>
          </wp:inline>
        </w:drawing>
      </w:r>
    </w:p>
    <w:p w14:paraId="698611B9" w14:textId="77777777" w:rsidR="00C45503" w:rsidRDefault="00624913">
      <w:pPr>
        <w:spacing w:after="260"/>
        <w:ind w:right="87"/>
        <w:jc w:val="center"/>
      </w:pPr>
      <w:r>
        <w:rPr>
          <w:rFonts w:ascii="Times New Roman" w:eastAsia="Times New Roman" w:hAnsi="Times New Roman" w:cs="Times New Roman"/>
          <w:sz w:val="24"/>
        </w:rPr>
        <w:t>Typical LW TG Arrangement Sketch</w:t>
      </w:r>
    </w:p>
    <w:p w14:paraId="5762DFD1" w14:textId="77777777" w:rsidR="00C45503" w:rsidRDefault="00624913">
      <w:pPr>
        <w:spacing w:after="302" w:line="230" w:lineRule="auto"/>
        <w:ind w:left="-5" w:right="280" w:firstLine="5"/>
        <w:jc w:val="both"/>
      </w:pPr>
      <w:r>
        <w:rPr>
          <w:rFonts w:ascii="Times New Roman" w:eastAsia="Times New Roman" w:hAnsi="Times New Roman" w:cs="Times New Roman"/>
          <w:sz w:val="24"/>
        </w:rPr>
        <w:t>The most recent ignition event on a Longwall in Queensland occurred at the TG end of the AFC and the ignition source was believed to be from the TG AFC Sprocket area. The shearer was positioned in th</w:t>
      </w:r>
      <w:r>
        <w:rPr>
          <w:rFonts w:ascii="Times New Roman" w:eastAsia="Times New Roman" w:hAnsi="Times New Roman" w:cs="Times New Roman"/>
          <w:sz w:val="24"/>
        </w:rPr>
        <w:t>e TG at the time of the ignition. The AFC was running, the shearer was powered, but the cutter drums were not engaged at the time of the ignition.</w:t>
      </w:r>
    </w:p>
    <w:p w14:paraId="07312733" w14:textId="77777777" w:rsidR="00C45503" w:rsidRDefault="00624913">
      <w:pPr>
        <w:spacing w:after="302" w:line="230" w:lineRule="auto"/>
        <w:ind w:left="-5" w:right="489" w:firstLine="5"/>
        <w:jc w:val="both"/>
      </w:pPr>
      <w:r>
        <w:rPr>
          <w:rFonts w:ascii="Times New Roman" w:eastAsia="Times New Roman" w:hAnsi="Times New Roman" w:cs="Times New Roman"/>
          <w:sz w:val="24"/>
        </w:rPr>
        <w:t xml:space="preserve">The TARP and the explanat01Y letter provided by the mine, stipulate that power will </w:t>
      </w:r>
      <w:r>
        <w:rPr>
          <w:noProof/>
        </w:rPr>
        <w:drawing>
          <wp:inline distT="0" distB="0" distL="0" distR="0" wp14:anchorId="556476CA" wp14:editId="0A2E07A4">
            <wp:extent cx="3232" cy="6464"/>
            <wp:effectExtent l="0" t="0" r="0" b="0"/>
            <wp:docPr id="8611" name="Picture 8611"/>
            <wp:cNvGraphicFramePr/>
            <a:graphic xmlns:a="http://schemas.openxmlformats.org/drawingml/2006/main">
              <a:graphicData uri="http://schemas.openxmlformats.org/drawingml/2006/picture">
                <pic:pic xmlns:pic="http://schemas.openxmlformats.org/drawingml/2006/picture">
                  <pic:nvPicPr>
                    <pic:cNvPr id="8611" name="Picture 8611"/>
                    <pic:cNvPicPr/>
                  </pic:nvPicPr>
                  <pic:blipFill>
                    <a:blip r:embed="rId19"/>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instantaneously be tripp</w:t>
      </w:r>
      <w:r>
        <w:rPr>
          <w:rFonts w:ascii="Times New Roman" w:eastAsia="Times New Roman" w:hAnsi="Times New Roman" w:cs="Times New Roman"/>
          <w:sz w:val="24"/>
        </w:rPr>
        <w:t xml:space="preserve">ed to the shearer when the TG GB Methane at the Methane Monitor </w:t>
      </w:r>
      <w:r>
        <w:rPr>
          <w:noProof/>
        </w:rPr>
        <w:drawing>
          <wp:inline distT="0" distB="0" distL="0" distR="0" wp14:anchorId="22E7D368" wp14:editId="32A5F26E">
            <wp:extent cx="3232" cy="6464"/>
            <wp:effectExtent l="0" t="0" r="0" b="0"/>
            <wp:docPr id="8612" name="Picture 8612"/>
            <wp:cNvGraphicFramePr/>
            <a:graphic xmlns:a="http://schemas.openxmlformats.org/drawingml/2006/main">
              <a:graphicData uri="http://schemas.openxmlformats.org/drawingml/2006/picture">
                <pic:pic xmlns:pic="http://schemas.openxmlformats.org/drawingml/2006/picture">
                  <pic:nvPicPr>
                    <pic:cNvPr id="8612" name="Picture 8612"/>
                    <pic:cNvPicPr/>
                  </pic:nvPicPr>
                  <pic:blipFill>
                    <a:blip r:embed="rId20"/>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located 400m outbye of the face reaches, or exceeds 2.5%.</w:t>
      </w:r>
    </w:p>
    <w:p w14:paraId="03B993F1" w14:textId="77777777" w:rsidR="00C45503" w:rsidRDefault="00624913">
      <w:pPr>
        <w:spacing w:after="302" w:line="230" w:lineRule="auto"/>
        <w:ind w:left="-5" w:right="153" w:firstLine="5"/>
        <w:jc w:val="both"/>
      </w:pPr>
      <w:r>
        <w:rPr>
          <w:rFonts w:ascii="Times New Roman" w:eastAsia="Times New Roman" w:hAnsi="Times New Roman" w:cs="Times New Roman"/>
          <w:sz w:val="24"/>
        </w:rPr>
        <w:t xml:space="preserve">The TARP then states that the shearer may be moved clear of the TG shuffle zone with the authorisation of the Underground Mine Manager. It goes on to explain that deteriorated roof conditions or </w:t>
      </w:r>
      <w:proofErr w:type="spellStart"/>
      <w:r>
        <w:rPr>
          <w:rFonts w:ascii="Times New Roman" w:eastAsia="Times New Roman" w:hAnsi="Times New Roman" w:cs="Times New Roman"/>
          <w:sz w:val="24"/>
        </w:rPr>
        <w:t>movmg</w:t>
      </w:r>
      <w:proofErr w:type="spellEnd"/>
      <w:r>
        <w:rPr>
          <w:rFonts w:ascii="Times New Roman" w:eastAsia="Times New Roman" w:hAnsi="Times New Roman" w:cs="Times New Roman"/>
          <w:sz w:val="24"/>
        </w:rPr>
        <w:t xml:space="preserve"> the shearer to reduce Impact on goaf gas fringe may be </w:t>
      </w:r>
      <w:r>
        <w:rPr>
          <w:rFonts w:ascii="Times New Roman" w:eastAsia="Times New Roman" w:hAnsi="Times New Roman" w:cs="Times New Roman"/>
          <w:sz w:val="24"/>
        </w:rPr>
        <w:t>reasons for wanting to move the shearer. The data supplied by the mine in response to the MRE does not demonstrate that the shearer standing in the TG shuffle zone increases the methane being swept out into the TG-</w:t>
      </w:r>
      <w:r>
        <w:rPr>
          <w:noProof/>
        </w:rPr>
        <w:drawing>
          <wp:inline distT="0" distB="0" distL="0" distR="0" wp14:anchorId="235241E6" wp14:editId="25B6E986">
            <wp:extent cx="12927" cy="12926"/>
            <wp:effectExtent l="0" t="0" r="0" b="0"/>
            <wp:docPr id="16093" name="Picture 16093"/>
            <wp:cNvGraphicFramePr/>
            <a:graphic xmlns:a="http://schemas.openxmlformats.org/drawingml/2006/main">
              <a:graphicData uri="http://schemas.openxmlformats.org/drawingml/2006/picture">
                <pic:pic xmlns:pic="http://schemas.openxmlformats.org/drawingml/2006/picture">
                  <pic:nvPicPr>
                    <pic:cNvPr id="16093" name="Picture 16093"/>
                    <pic:cNvPicPr/>
                  </pic:nvPicPr>
                  <pic:blipFill>
                    <a:blip r:embed="rId21"/>
                    <a:stretch>
                      <a:fillRect/>
                    </a:stretch>
                  </pic:blipFill>
                  <pic:spPr>
                    <a:xfrm>
                      <a:off x="0" y="0"/>
                      <a:ext cx="12927" cy="12926"/>
                    </a:xfrm>
                    <a:prstGeom prst="rect">
                      <a:avLst/>
                    </a:prstGeom>
                  </pic:spPr>
                </pic:pic>
              </a:graphicData>
            </a:graphic>
          </wp:inline>
        </w:drawing>
      </w:r>
    </w:p>
    <w:p w14:paraId="016D31D0" w14:textId="77777777" w:rsidR="00C45503" w:rsidRDefault="00624913">
      <w:pPr>
        <w:spacing w:after="302" w:line="230" w:lineRule="auto"/>
        <w:ind w:left="-5" w:right="153" w:firstLine="5"/>
        <w:jc w:val="both"/>
      </w:pPr>
      <w:r>
        <w:rPr>
          <w:rFonts w:ascii="Times New Roman" w:eastAsia="Times New Roman" w:hAnsi="Times New Roman" w:cs="Times New Roman"/>
          <w:sz w:val="24"/>
        </w:rPr>
        <w:t>The letter from the Chief Inspector of C</w:t>
      </w:r>
      <w:r>
        <w:rPr>
          <w:rFonts w:ascii="Times New Roman" w:eastAsia="Times New Roman" w:hAnsi="Times New Roman" w:cs="Times New Roman"/>
          <w:sz w:val="24"/>
        </w:rPr>
        <w:t xml:space="preserve">oal Mines sent to all Coal Underground SSE's and </w:t>
      </w:r>
      <w:r>
        <w:rPr>
          <w:noProof/>
        </w:rPr>
        <w:drawing>
          <wp:inline distT="0" distB="0" distL="0" distR="0" wp14:anchorId="752992C4" wp14:editId="56F06848">
            <wp:extent cx="3231" cy="3232"/>
            <wp:effectExtent l="0" t="0" r="0" b="0"/>
            <wp:docPr id="8615" name="Picture 8615"/>
            <wp:cNvGraphicFramePr/>
            <a:graphic xmlns:a="http://schemas.openxmlformats.org/drawingml/2006/main">
              <a:graphicData uri="http://schemas.openxmlformats.org/drawingml/2006/picture">
                <pic:pic xmlns:pic="http://schemas.openxmlformats.org/drawingml/2006/picture">
                  <pic:nvPicPr>
                    <pic:cNvPr id="8615" name="Picture 8615"/>
                    <pic:cNvPicPr/>
                  </pic:nvPicPr>
                  <pic:blipFill>
                    <a:blip r:embed="rId22"/>
                    <a:stretch>
                      <a:fillRect/>
                    </a:stretch>
                  </pic:blipFill>
                  <pic:spPr>
                    <a:xfrm>
                      <a:off x="0" y="0"/>
                      <a:ext cx="3231" cy="3232"/>
                    </a:xfrm>
                    <a:prstGeom prst="rect">
                      <a:avLst/>
                    </a:prstGeom>
                  </pic:spPr>
                </pic:pic>
              </a:graphicData>
            </a:graphic>
          </wp:inline>
        </w:drawing>
      </w:r>
      <w:r>
        <w:rPr>
          <w:rFonts w:ascii="Times New Roman" w:eastAsia="Times New Roman" w:hAnsi="Times New Roman" w:cs="Times New Roman"/>
          <w:sz w:val="24"/>
        </w:rPr>
        <w:t>Underground Mine Managers on 30 Jan 2017 clearly states that if a roadway in a mine contains an atmosphere equal to or greater than 2.5% methane it is dangerous under section 273 of the Act. The letter also</w:t>
      </w:r>
      <w:r>
        <w:rPr>
          <w:rFonts w:ascii="Times New Roman" w:eastAsia="Times New Roman" w:hAnsi="Times New Roman" w:cs="Times New Roman"/>
          <w:sz w:val="24"/>
        </w:rPr>
        <w:t xml:space="preserve"> goes on to state that the SHMS must have controls to prevent a general body concentration </w:t>
      </w:r>
      <w:proofErr w:type="spellStart"/>
      <w:r>
        <w:rPr>
          <w:rFonts w:ascii="Times New Roman" w:eastAsia="Times New Roman" w:hAnsi="Times New Roman" w:cs="Times New Roman"/>
          <w:sz w:val="24"/>
        </w:rPr>
        <w:t>ofmethane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occun•ing</w:t>
      </w:r>
      <w:proofErr w:type="spellEnd"/>
      <w:r>
        <w:rPr>
          <w:rFonts w:ascii="Times New Roman" w:eastAsia="Times New Roman" w:hAnsi="Times New Roman" w:cs="Times New Roman"/>
          <w:sz w:val="24"/>
        </w:rPr>
        <w:t xml:space="preserve"> in any roadway that is equal to or greater than 2.5%.</w:t>
      </w:r>
    </w:p>
    <w:p w14:paraId="551CA0F3" w14:textId="77777777" w:rsidR="00C45503" w:rsidRDefault="00624913">
      <w:pPr>
        <w:spacing w:after="302" w:line="230" w:lineRule="auto"/>
        <w:ind w:left="-5" w:right="819" w:firstLine="5"/>
        <w:jc w:val="both"/>
      </w:pPr>
      <w:r>
        <w:rPr>
          <w:rFonts w:ascii="Times New Roman" w:eastAsia="Times New Roman" w:hAnsi="Times New Roman" w:cs="Times New Roman"/>
          <w:sz w:val="24"/>
        </w:rPr>
        <w:t xml:space="preserve">For the above reasons it is not considered an acceptable level of risk to move the shearer </w:t>
      </w:r>
      <w:r>
        <w:rPr>
          <w:rFonts w:ascii="Times New Roman" w:eastAsia="Times New Roman" w:hAnsi="Times New Roman" w:cs="Times New Roman"/>
          <w:sz w:val="24"/>
        </w:rPr>
        <w:t>whenever the methane level in the TG general body is at or greater than 2.5% and so the requirements of the Directive are not satisfied.</w:t>
      </w:r>
    </w:p>
    <w:p w14:paraId="46576072" w14:textId="77777777" w:rsidR="00C45503" w:rsidRDefault="00624913">
      <w:pPr>
        <w:spacing w:after="302" w:line="230" w:lineRule="auto"/>
        <w:ind w:left="-5" w:right="153" w:firstLine="5"/>
        <w:jc w:val="both"/>
      </w:pPr>
      <w:r>
        <w:rPr>
          <w:rFonts w:ascii="Times New Roman" w:eastAsia="Times New Roman" w:hAnsi="Times New Roman" w:cs="Times New Roman"/>
          <w:sz w:val="24"/>
        </w:rPr>
        <w:t xml:space="preserve">I will extend the Directive completion date to Friday 27 October 2017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allow the mine to respond to this MRE</w:t>
      </w:r>
      <w:r>
        <w:rPr>
          <w:rFonts w:ascii="Times New Roman" w:eastAsia="Times New Roman" w:hAnsi="Times New Roman" w:cs="Times New Roman"/>
          <w:sz w:val="24"/>
        </w:rPr>
        <w:t>.</w:t>
      </w:r>
    </w:p>
    <w:p w14:paraId="211BD660" w14:textId="77777777" w:rsidR="00C45503" w:rsidRDefault="00624913">
      <w:pPr>
        <w:spacing w:after="738" w:line="230" w:lineRule="auto"/>
        <w:ind w:left="-5" w:right="153" w:firstLine="5"/>
        <w:jc w:val="both"/>
      </w:pPr>
      <w:r>
        <w:rPr>
          <w:rFonts w:ascii="Times New Roman" w:eastAsia="Times New Roman" w:hAnsi="Times New Roman" w:cs="Times New Roman"/>
          <w:sz w:val="24"/>
        </w:rPr>
        <w:lastRenderedPageBreak/>
        <w:t xml:space="preserve">In addition, I request that you provide the following information, electronically, for myself or another Inspector; or Officer, to collect from the mine on Friday 20 October </w:t>
      </w:r>
      <w:proofErr w:type="gramStart"/>
      <w:r>
        <w:rPr>
          <w:rFonts w:ascii="Times New Roman" w:eastAsia="Times New Roman" w:hAnsi="Times New Roman" w:cs="Times New Roman"/>
          <w:sz w:val="24"/>
        </w:rPr>
        <w:t>2017;-</w:t>
      </w:r>
      <w:proofErr w:type="gramEnd"/>
    </w:p>
    <w:p w14:paraId="43FBD600" w14:textId="77777777" w:rsidR="00C45503" w:rsidRDefault="00624913">
      <w:pPr>
        <w:spacing w:after="0"/>
        <w:ind w:right="585"/>
        <w:jc w:val="right"/>
      </w:pPr>
      <w:r>
        <w:rPr>
          <w:sz w:val="20"/>
        </w:rPr>
        <w:t xml:space="preserve">2 </w:t>
      </w:r>
    </w:p>
    <w:p w14:paraId="2F4D8F86" w14:textId="77777777" w:rsidR="00C45503" w:rsidRDefault="00624913">
      <w:pPr>
        <w:spacing w:after="249" w:line="253" w:lineRule="auto"/>
        <w:ind w:left="148" w:right="290" w:firstLine="5"/>
        <w:jc w:val="both"/>
      </w:pPr>
      <w:r>
        <w:rPr>
          <w:rFonts w:ascii="Times New Roman" w:eastAsia="Times New Roman" w:hAnsi="Times New Roman" w:cs="Times New Roman"/>
          <w:sz w:val="24"/>
        </w:rPr>
        <w:t xml:space="preserve">Gas data from your </w:t>
      </w:r>
      <w:proofErr w:type="spellStart"/>
      <w:r>
        <w:rPr>
          <w:rFonts w:ascii="Times New Roman" w:eastAsia="Times New Roman" w:hAnsi="Times New Roman" w:cs="Times New Roman"/>
          <w:sz w:val="24"/>
        </w:rPr>
        <w:t>Safegas</w:t>
      </w:r>
      <w:proofErr w:type="spellEnd"/>
      <w:r>
        <w:rPr>
          <w:rFonts w:ascii="Times New Roman" w:eastAsia="Times New Roman" w:hAnsi="Times New Roman" w:cs="Times New Roman"/>
          <w:sz w:val="24"/>
        </w:rPr>
        <w:t xml:space="preserve"> system in the form of the </w:t>
      </w:r>
      <w:proofErr w:type="spellStart"/>
      <w:r>
        <w:rPr>
          <w:rFonts w:ascii="Times New Roman" w:eastAsia="Times New Roman" w:hAnsi="Times New Roman" w:cs="Times New Roman"/>
          <w:sz w:val="24"/>
        </w:rPr>
        <w:t>log.SPW</w:t>
      </w:r>
      <w:proofErr w:type="spellEnd"/>
      <w:r>
        <w:rPr>
          <w:rFonts w:ascii="Times New Roman" w:eastAsia="Times New Roman" w:hAnsi="Times New Roman" w:cs="Times New Roman"/>
          <w:sz w:val="24"/>
        </w:rPr>
        <w:t xml:space="preserve"> files, of</w:t>
      </w:r>
      <w:r>
        <w:rPr>
          <w:rFonts w:ascii="Times New Roman" w:eastAsia="Times New Roman" w:hAnsi="Times New Roman" w:cs="Times New Roman"/>
          <w:sz w:val="24"/>
        </w:rPr>
        <w:t xml:space="preserve"> the inbye and outbye </w:t>
      </w:r>
      <w:r>
        <w:rPr>
          <w:noProof/>
        </w:rPr>
        <w:drawing>
          <wp:inline distT="0" distB="0" distL="0" distR="0" wp14:anchorId="5FDD6E64" wp14:editId="4CE0E32B">
            <wp:extent cx="3232" cy="3232"/>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23"/>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 xml:space="preserve">LWIOI TG methane monitors with time scale for the following </w:t>
      </w:r>
      <w:proofErr w:type="spellStart"/>
      <w:proofErr w:type="gramStart"/>
      <w:r>
        <w:rPr>
          <w:rFonts w:ascii="Times New Roman" w:eastAsia="Times New Roman" w:hAnsi="Times New Roman" w:cs="Times New Roman"/>
          <w:sz w:val="24"/>
        </w:rPr>
        <w:t>period;March</w:t>
      </w:r>
      <w:proofErr w:type="spellEnd"/>
      <w:proofErr w:type="gramEnd"/>
      <w:r>
        <w:rPr>
          <w:rFonts w:ascii="Times New Roman" w:eastAsia="Times New Roman" w:hAnsi="Times New Roman" w:cs="Times New Roman"/>
          <w:sz w:val="24"/>
        </w:rPr>
        <w:t xml:space="preserve"> 01 2017 to </w:t>
      </w:r>
      <w:proofErr w:type="spellStart"/>
      <w:r>
        <w:rPr>
          <w:rFonts w:ascii="Times New Roman" w:eastAsia="Times New Roman" w:hAnsi="Times New Roman" w:cs="Times New Roman"/>
          <w:sz w:val="24"/>
        </w:rPr>
        <w:t>sep</w:t>
      </w:r>
      <w:proofErr w:type="spellEnd"/>
      <w:r>
        <w:rPr>
          <w:rFonts w:ascii="Times New Roman" w:eastAsia="Times New Roman" w:hAnsi="Times New Roman" w:cs="Times New Roman"/>
          <w:sz w:val="24"/>
        </w:rPr>
        <w:t xml:space="preserve"> 15 2017.</w:t>
      </w:r>
    </w:p>
    <w:p w14:paraId="4D87D322" w14:textId="77777777" w:rsidR="00C45503" w:rsidRDefault="00624913">
      <w:pPr>
        <w:spacing w:after="3" w:line="253" w:lineRule="auto"/>
        <w:ind w:left="148" w:right="16" w:firstLine="5"/>
        <w:jc w:val="both"/>
      </w:pPr>
      <w:r>
        <w:rPr>
          <w:rFonts w:ascii="Times New Roman" w:eastAsia="Times New Roman" w:hAnsi="Times New Roman" w:cs="Times New Roman"/>
          <w:sz w:val="24"/>
        </w:rPr>
        <w:t xml:space="preserve">In addition, can you provide Citect Screen shots for </w:t>
      </w:r>
      <w:proofErr w:type="gramStart"/>
      <w:r>
        <w:rPr>
          <w:rFonts w:ascii="Times New Roman" w:eastAsia="Times New Roman" w:hAnsi="Times New Roman" w:cs="Times New Roman"/>
          <w:sz w:val="24"/>
        </w:rPr>
        <w:t>12 hour</w:t>
      </w:r>
      <w:proofErr w:type="gramEnd"/>
      <w:r>
        <w:rPr>
          <w:rFonts w:ascii="Times New Roman" w:eastAsia="Times New Roman" w:hAnsi="Times New Roman" w:cs="Times New Roman"/>
          <w:sz w:val="24"/>
        </w:rPr>
        <w:t xml:space="preserve"> periods (i.e. 12:00 am to 12:00 PM and 12:00 PM to 12:00 AM for each day) that show Shearer Face Position, Barometer, Inbye </w:t>
      </w:r>
      <w:r>
        <w:rPr>
          <w:noProof/>
        </w:rPr>
        <w:drawing>
          <wp:inline distT="0" distB="0" distL="0" distR="0" wp14:anchorId="6A77D796" wp14:editId="12969612">
            <wp:extent cx="9695" cy="16159"/>
            <wp:effectExtent l="0" t="0" r="0" b="0"/>
            <wp:docPr id="16097" name="Picture 16097"/>
            <wp:cNvGraphicFramePr/>
            <a:graphic xmlns:a="http://schemas.openxmlformats.org/drawingml/2006/main">
              <a:graphicData uri="http://schemas.openxmlformats.org/drawingml/2006/picture">
                <pic:pic xmlns:pic="http://schemas.openxmlformats.org/drawingml/2006/picture">
                  <pic:nvPicPr>
                    <pic:cNvPr id="16097" name="Picture 16097"/>
                    <pic:cNvPicPr/>
                  </pic:nvPicPr>
                  <pic:blipFill>
                    <a:blip r:embed="rId24"/>
                    <a:stretch>
                      <a:fillRect/>
                    </a:stretch>
                  </pic:blipFill>
                  <pic:spPr>
                    <a:xfrm>
                      <a:off x="0" y="0"/>
                      <a:ext cx="9695" cy="16159"/>
                    </a:xfrm>
                    <a:prstGeom prst="rect">
                      <a:avLst/>
                    </a:prstGeom>
                  </pic:spPr>
                </pic:pic>
              </a:graphicData>
            </a:graphic>
          </wp:inline>
        </w:drawing>
      </w:r>
      <w:r>
        <w:rPr>
          <w:rFonts w:ascii="Times New Roman" w:eastAsia="Times New Roman" w:hAnsi="Times New Roman" w:cs="Times New Roman"/>
          <w:sz w:val="24"/>
        </w:rPr>
        <w:t>101 TG Methane monitor readings and Outbye TG Monitor readings, for th</w:t>
      </w:r>
      <w:r>
        <w:rPr>
          <w:rFonts w:ascii="Times New Roman" w:eastAsia="Times New Roman" w:hAnsi="Times New Roman" w:cs="Times New Roman"/>
          <w:sz w:val="24"/>
        </w:rPr>
        <w:t>e following dates;</w:t>
      </w:r>
      <w:r>
        <w:rPr>
          <w:noProof/>
        </w:rPr>
        <w:drawing>
          <wp:inline distT="0" distB="0" distL="0" distR="0" wp14:anchorId="3607FEB1" wp14:editId="6BC29115">
            <wp:extent cx="3232" cy="3232"/>
            <wp:effectExtent l="0" t="0" r="0" b="0"/>
            <wp:docPr id="10121" name="Picture 10121"/>
            <wp:cNvGraphicFramePr/>
            <a:graphic xmlns:a="http://schemas.openxmlformats.org/drawingml/2006/main">
              <a:graphicData uri="http://schemas.openxmlformats.org/drawingml/2006/picture">
                <pic:pic xmlns:pic="http://schemas.openxmlformats.org/drawingml/2006/picture">
                  <pic:nvPicPr>
                    <pic:cNvPr id="10121" name="Picture 10121"/>
                    <pic:cNvPicPr/>
                  </pic:nvPicPr>
                  <pic:blipFill>
                    <a:blip r:embed="rId15"/>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6 March 2017</w:t>
      </w:r>
    </w:p>
    <w:p w14:paraId="6EBB95D1" w14:textId="77777777" w:rsidR="00C45503" w:rsidRDefault="00624913">
      <w:pPr>
        <w:numPr>
          <w:ilvl w:val="0"/>
          <w:numId w:val="1"/>
        </w:numPr>
        <w:spacing w:after="3" w:line="253" w:lineRule="auto"/>
        <w:ind w:right="16" w:hanging="178"/>
        <w:jc w:val="both"/>
      </w:pPr>
      <w:r>
        <w:rPr>
          <w:rFonts w:ascii="Times New Roman" w:eastAsia="Times New Roman" w:hAnsi="Times New Roman" w:cs="Times New Roman"/>
          <w:sz w:val="24"/>
        </w:rPr>
        <w:t>July 2017</w:t>
      </w:r>
    </w:p>
    <w:p w14:paraId="2D6F644B" w14:textId="77777777" w:rsidR="00C45503" w:rsidRDefault="00624913">
      <w:pPr>
        <w:numPr>
          <w:ilvl w:val="0"/>
          <w:numId w:val="1"/>
        </w:numPr>
        <w:spacing w:after="3" w:line="253" w:lineRule="auto"/>
        <w:ind w:right="16" w:hanging="178"/>
        <w:jc w:val="both"/>
      </w:pPr>
      <w:r>
        <w:rPr>
          <w:rFonts w:ascii="Times New Roman" w:eastAsia="Times New Roman" w:hAnsi="Times New Roman" w:cs="Times New Roman"/>
          <w:sz w:val="24"/>
        </w:rPr>
        <w:t>July 2017</w:t>
      </w:r>
    </w:p>
    <w:p w14:paraId="25676458" w14:textId="77777777" w:rsidR="00C45503" w:rsidRDefault="00624913">
      <w:pPr>
        <w:numPr>
          <w:ilvl w:val="0"/>
          <w:numId w:val="1"/>
        </w:numPr>
        <w:spacing w:after="3" w:line="253" w:lineRule="auto"/>
        <w:ind w:right="16" w:hanging="178"/>
        <w:jc w:val="both"/>
      </w:pPr>
      <w:r>
        <w:rPr>
          <w:rFonts w:ascii="Times New Roman" w:eastAsia="Times New Roman" w:hAnsi="Times New Roman" w:cs="Times New Roman"/>
          <w:sz w:val="24"/>
        </w:rPr>
        <w:t>July 2017</w:t>
      </w:r>
      <w:r>
        <w:rPr>
          <w:noProof/>
        </w:rPr>
        <w:drawing>
          <wp:inline distT="0" distB="0" distL="0" distR="0" wp14:anchorId="2244C918" wp14:editId="43E357F0">
            <wp:extent cx="6463" cy="6464"/>
            <wp:effectExtent l="0" t="0" r="0" b="0"/>
            <wp:docPr id="10124" name="Picture 10124"/>
            <wp:cNvGraphicFramePr/>
            <a:graphic xmlns:a="http://schemas.openxmlformats.org/drawingml/2006/main">
              <a:graphicData uri="http://schemas.openxmlformats.org/drawingml/2006/picture">
                <pic:pic xmlns:pic="http://schemas.openxmlformats.org/drawingml/2006/picture">
                  <pic:nvPicPr>
                    <pic:cNvPr id="10124" name="Picture 10124"/>
                    <pic:cNvPicPr/>
                  </pic:nvPicPr>
                  <pic:blipFill>
                    <a:blip r:embed="rId25"/>
                    <a:stretch>
                      <a:fillRect/>
                    </a:stretch>
                  </pic:blipFill>
                  <pic:spPr>
                    <a:xfrm>
                      <a:off x="0" y="0"/>
                      <a:ext cx="6463" cy="6464"/>
                    </a:xfrm>
                    <a:prstGeom prst="rect">
                      <a:avLst/>
                    </a:prstGeom>
                  </pic:spPr>
                </pic:pic>
              </a:graphicData>
            </a:graphic>
          </wp:inline>
        </w:drawing>
      </w:r>
    </w:p>
    <w:p w14:paraId="0A81484F" w14:textId="77777777" w:rsidR="00C45503" w:rsidRDefault="00624913">
      <w:pPr>
        <w:numPr>
          <w:ilvl w:val="0"/>
          <w:numId w:val="2"/>
        </w:numPr>
        <w:spacing w:after="3" w:line="253" w:lineRule="auto"/>
        <w:ind w:right="16" w:hanging="280"/>
        <w:jc w:val="both"/>
      </w:pPr>
      <w:r>
        <w:rPr>
          <w:rFonts w:ascii="Times New Roman" w:eastAsia="Times New Roman" w:hAnsi="Times New Roman" w:cs="Times New Roman"/>
          <w:sz w:val="24"/>
        </w:rPr>
        <w:t>July 2017</w:t>
      </w:r>
    </w:p>
    <w:p w14:paraId="1CBFA4FD" w14:textId="77777777" w:rsidR="00C45503" w:rsidRDefault="00624913">
      <w:pPr>
        <w:numPr>
          <w:ilvl w:val="0"/>
          <w:numId w:val="2"/>
        </w:numPr>
        <w:spacing w:after="3" w:line="253" w:lineRule="auto"/>
        <w:ind w:right="16" w:hanging="280"/>
        <w:jc w:val="both"/>
      </w:pPr>
      <w:r>
        <w:rPr>
          <w:rFonts w:ascii="Times New Roman" w:eastAsia="Times New Roman" w:hAnsi="Times New Roman" w:cs="Times New Roman"/>
          <w:sz w:val="24"/>
        </w:rPr>
        <w:t>July 2017</w:t>
      </w:r>
      <w:r>
        <w:rPr>
          <w:noProof/>
        </w:rPr>
        <w:drawing>
          <wp:inline distT="0" distB="0" distL="0" distR="0" wp14:anchorId="03B17133" wp14:editId="4950714B">
            <wp:extent cx="3232" cy="3232"/>
            <wp:effectExtent l="0" t="0" r="0" b="0"/>
            <wp:docPr id="10125" name="Picture 10125"/>
            <wp:cNvGraphicFramePr/>
            <a:graphic xmlns:a="http://schemas.openxmlformats.org/drawingml/2006/main">
              <a:graphicData uri="http://schemas.openxmlformats.org/drawingml/2006/picture">
                <pic:pic xmlns:pic="http://schemas.openxmlformats.org/drawingml/2006/picture">
                  <pic:nvPicPr>
                    <pic:cNvPr id="10125" name="Picture 10125"/>
                    <pic:cNvPicPr/>
                  </pic:nvPicPr>
                  <pic:blipFill>
                    <a:blip r:embed="rId12"/>
                    <a:stretch>
                      <a:fillRect/>
                    </a:stretch>
                  </pic:blipFill>
                  <pic:spPr>
                    <a:xfrm>
                      <a:off x="0" y="0"/>
                      <a:ext cx="3232" cy="3232"/>
                    </a:xfrm>
                    <a:prstGeom prst="rect">
                      <a:avLst/>
                    </a:prstGeom>
                  </pic:spPr>
                </pic:pic>
              </a:graphicData>
            </a:graphic>
          </wp:inline>
        </w:drawing>
      </w:r>
    </w:p>
    <w:p w14:paraId="7F2950C7" w14:textId="77777777" w:rsidR="00C45503" w:rsidRDefault="00624913">
      <w:pPr>
        <w:spacing w:after="3" w:line="253" w:lineRule="auto"/>
        <w:ind w:left="148" w:right="16" w:firstLine="5"/>
        <w:jc w:val="both"/>
      </w:pPr>
      <w:r>
        <w:rPr>
          <w:noProof/>
        </w:rPr>
        <w:drawing>
          <wp:inline distT="0" distB="0" distL="0" distR="0" wp14:anchorId="2E1713D4" wp14:editId="46606DBA">
            <wp:extent cx="6463" cy="6464"/>
            <wp:effectExtent l="0" t="0" r="0" b="0"/>
            <wp:docPr id="10126" name="Picture 10126"/>
            <wp:cNvGraphicFramePr/>
            <a:graphic xmlns:a="http://schemas.openxmlformats.org/drawingml/2006/main">
              <a:graphicData uri="http://schemas.openxmlformats.org/drawingml/2006/picture">
                <pic:pic xmlns:pic="http://schemas.openxmlformats.org/drawingml/2006/picture">
                  <pic:nvPicPr>
                    <pic:cNvPr id="10126" name="Picture 10126"/>
                    <pic:cNvPicPr/>
                  </pic:nvPicPr>
                  <pic:blipFill>
                    <a:blip r:embed="rId26"/>
                    <a:stretch>
                      <a:fillRect/>
                    </a:stretch>
                  </pic:blipFill>
                  <pic:spPr>
                    <a:xfrm>
                      <a:off x="0" y="0"/>
                      <a:ext cx="6463" cy="6464"/>
                    </a:xfrm>
                    <a:prstGeom prst="rect">
                      <a:avLst/>
                    </a:prstGeom>
                  </pic:spPr>
                </pic:pic>
              </a:graphicData>
            </a:graphic>
          </wp:inline>
        </w:drawing>
      </w:r>
      <w:r>
        <w:rPr>
          <w:rFonts w:ascii="Times New Roman" w:eastAsia="Times New Roman" w:hAnsi="Times New Roman" w:cs="Times New Roman"/>
          <w:sz w:val="24"/>
        </w:rPr>
        <w:t>13 July 2017</w:t>
      </w:r>
    </w:p>
    <w:p w14:paraId="6F0CDE72" w14:textId="77777777" w:rsidR="00C45503" w:rsidRDefault="00624913">
      <w:pPr>
        <w:spacing w:after="3" w:line="253" w:lineRule="auto"/>
        <w:ind w:left="148" w:right="16" w:firstLine="5"/>
        <w:jc w:val="both"/>
      </w:pPr>
      <w:r>
        <w:rPr>
          <w:rFonts w:ascii="Times New Roman" w:eastAsia="Times New Roman" w:hAnsi="Times New Roman" w:cs="Times New Roman"/>
          <w:sz w:val="24"/>
        </w:rPr>
        <w:t>6 Aug 2017</w:t>
      </w:r>
    </w:p>
    <w:p w14:paraId="5BBEBADE" w14:textId="77777777" w:rsidR="00C45503" w:rsidRDefault="00624913">
      <w:pPr>
        <w:spacing w:after="3" w:line="253" w:lineRule="auto"/>
        <w:ind w:left="148" w:right="16" w:firstLine="5"/>
        <w:jc w:val="both"/>
      </w:pPr>
      <w:r>
        <w:rPr>
          <w:noProof/>
        </w:rPr>
        <w:drawing>
          <wp:inline distT="0" distB="0" distL="0" distR="0" wp14:anchorId="7C5E5DDF" wp14:editId="4B442407">
            <wp:extent cx="6463" cy="3232"/>
            <wp:effectExtent l="0" t="0" r="0" b="0"/>
            <wp:docPr id="10127" name="Picture 10127"/>
            <wp:cNvGraphicFramePr/>
            <a:graphic xmlns:a="http://schemas.openxmlformats.org/drawingml/2006/main">
              <a:graphicData uri="http://schemas.openxmlformats.org/drawingml/2006/picture">
                <pic:pic xmlns:pic="http://schemas.openxmlformats.org/drawingml/2006/picture">
                  <pic:nvPicPr>
                    <pic:cNvPr id="10127" name="Picture 10127"/>
                    <pic:cNvPicPr/>
                  </pic:nvPicPr>
                  <pic:blipFill>
                    <a:blip r:embed="rId27"/>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10 Aug 2017</w:t>
      </w:r>
    </w:p>
    <w:p w14:paraId="3F13AF70" w14:textId="77777777" w:rsidR="00C45503" w:rsidRDefault="00624913">
      <w:pPr>
        <w:spacing w:after="3" w:line="253" w:lineRule="auto"/>
        <w:ind w:left="148" w:right="16" w:firstLine="5"/>
        <w:jc w:val="both"/>
      </w:pPr>
      <w:r>
        <w:rPr>
          <w:rFonts w:ascii="Times New Roman" w:eastAsia="Times New Roman" w:hAnsi="Times New Roman" w:cs="Times New Roman"/>
          <w:sz w:val="24"/>
        </w:rPr>
        <w:t>11 Aug 2017</w:t>
      </w:r>
      <w:r>
        <w:rPr>
          <w:noProof/>
        </w:rPr>
        <w:drawing>
          <wp:inline distT="0" distB="0" distL="0" distR="0" wp14:anchorId="10270FAA" wp14:editId="4590AE8B">
            <wp:extent cx="3232" cy="3232"/>
            <wp:effectExtent l="0" t="0" r="0" b="0"/>
            <wp:docPr id="10128" name="Picture 10128"/>
            <wp:cNvGraphicFramePr/>
            <a:graphic xmlns:a="http://schemas.openxmlformats.org/drawingml/2006/main">
              <a:graphicData uri="http://schemas.openxmlformats.org/drawingml/2006/picture">
                <pic:pic xmlns:pic="http://schemas.openxmlformats.org/drawingml/2006/picture">
                  <pic:nvPicPr>
                    <pic:cNvPr id="10128" name="Picture 10128"/>
                    <pic:cNvPicPr/>
                  </pic:nvPicPr>
                  <pic:blipFill>
                    <a:blip r:embed="rId28"/>
                    <a:stretch>
                      <a:fillRect/>
                    </a:stretch>
                  </pic:blipFill>
                  <pic:spPr>
                    <a:xfrm>
                      <a:off x="0" y="0"/>
                      <a:ext cx="3232" cy="3232"/>
                    </a:xfrm>
                    <a:prstGeom prst="rect">
                      <a:avLst/>
                    </a:prstGeom>
                  </pic:spPr>
                </pic:pic>
              </a:graphicData>
            </a:graphic>
          </wp:inline>
        </w:drawing>
      </w:r>
    </w:p>
    <w:p w14:paraId="713E3EE4" w14:textId="77777777" w:rsidR="00C45503" w:rsidRDefault="00624913">
      <w:pPr>
        <w:spacing w:after="3" w:line="253" w:lineRule="auto"/>
        <w:ind w:left="148" w:right="16" w:firstLine="5"/>
        <w:jc w:val="both"/>
      </w:pPr>
      <w:r>
        <w:rPr>
          <w:rFonts w:ascii="Times New Roman" w:eastAsia="Times New Roman" w:hAnsi="Times New Roman" w:cs="Times New Roman"/>
          <w:sz w:val="24"/>
        </w:rPr>
        <w:t>14 Aug 2017</w:t>
      </w:r>
    </w:p>
    <w:p w14:paraId="7BFF9D8C" w14:textId="77777777" w:rsidR="00C45503" w:rsidRDefault="00624913">
      <w:pPr>
        <w:spacing w:after="221" w:line="253" w:lineRule="auto"/>
        <w:ind w:left="148" w:right="16" w:firstLine="5"/>
        <w:jc w:val="both"/>
      </w:pPr>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sep</w:t>
      </w:r>
      <w:proofErr w:type="spellEnd"/>
      <w:r>
        <w:rPr>
          <w:rFonts w:ascii="Times New Roman" w:eastAsia="Times New Roman" w:hAnsi="Times New Roman" w:cs="Times New Roman"/>
          <w:sz w:val="24"/>
        </w:rPr>
        <w:t xml:space="preserve"> 2017</w:t>
      </w:r>
    </w:p>
    <w:p w14:paraId="184BF348" w14:textId="77777777" w:rsidR="00C45503" w:rsidRDefault="00624913">
      <w:pPr>
        <w:spacing w:after="3" w:line="253" w:lineRule="auto"/>
        <w:ind w:left="148" w:right="16" w:firstLine="5"/>
        <w:jc w:val="both"/>
      </w:pPr>
      <w:r>
        <w:rPr>
          <w:rFonts w:ascii="Times New Roman" w:eastAsia="Times New Roman" w:hAnsi="Times New Roman" w:cs="Times New Roman"/>
          <w:sz w:val="24"/>
        </w:rPr>
        <w:t xml:space="preserve">Whether it is </w:t>
      </w:r>
      <w:proofErr w:type="gramStart"/>
      <w:r>
        <w:rPr>
          <w:rFonts w:ascii="Times New Roman" w:eastAsia="Times New Roman" w:hAnsi="Times New Roman" w:cs="Times New Roman"/>
          <w:sz w:val="24"/>
        </w:rPr>
        <w:t>myself</w:t>
      </w:r>
      <w:proofErr w:type="gramEnd"/>
      <w:r>
        <w:rPr>
          <w:rFonts w:ascii="Times New Roman" w:eastAsia="Times New Roman" w:hAnsi="Times New Roman" w:cs="Times New Roman"/>
          <w:sz w:val="24"/>
        </w:rPr>
        <w:t xml:space="preserve"> or another officer who comes to site to collect the information requested </w:t>
      </w:r>
      <w:r>
        <w:rPr>
          <w:noProof/>
        </w:rPr>
        <w:drawing>
          <wp:inline distT="0" distB="0" distL="0" distR="0" wp14:anchorId="5A84F6C4" wp14:editId="39FBA91A">
            <wp:extent cx="9696" cy="22622"/>
            <wp:effectExtent l="0" t="0" r="0" b="0"/>
            <wp:docPr id="16099" name="Picture 16099"/>
            <wp:cNvGraphicFramePr/>
            <a:graphic xmlns:a="http://schemas.openxmlformats.org/drawingml/2006/main">
              <a:graphicData uri="http://schemas.openxmlformats.org/drawingml/2006/picture">
                <pic:pic xmlns:pic="http://schemas.openxmlformats.org/drawingml/2006/picture">
                  <pic:nvPicPr>
                    <pic:cNvPr id="16099" name="Picture 16099"/>
                    <pic:cNvPicPr/>
                  </pic:nvPicPr>
                  <pic:blipFill>
                    <a:blip r:embed="rId29"/>
                    <a:stretch>
                      <a:fillRect/>
                    </a:stretch>
                  </pic:blipFill>
                  <pic:spPr>
                    <a:xfrm>
                      <a:off x="0" y="0"/>
                      <a:ext cx="9696" cy="22622"/>
                    </a:xfrm>
                    <a:prstGeom prst="rect">
                      <a:avLst/>
                    </a:prstGeom>
                  </pic:spPr>
                </pic:pic>
              </a:graphicData>
            </a:graphic>
          </wp:inline>
        </w:drawing>
      </w:r>
      <w:r>
        <w:rPr>
          <w:rFonts w:ascii="Times New Roman" w:eastAsia="Times New Roman" w:hAnsi="Times New Roman" w:cs="Times New Roman"/>
          <w:sz w:val="24"/>
        </w:rPr>
        <w:t>we will bring an appropriate external hard drive to collect the data requested above.</w:t>
      </w:r>
    </w:p>
    <w:p w14:paraId="34C0C887" w14:textId="77777777" w:rsidR="00C45503" w:rsidRDefault="00624913">
      <w:pPr>
        <w:spacing w:after="539"/>
        <w:ind w:left="814"/>
      </w:pPr>
      <w:r>
        <w:rPr>
          <w:noProof/>
        </w:rPr>
        <w:drawing>
          <wp:inline distT="0" distB="0" distL="0" distR="0" wp14:anchorId="06931381" wp14:editId="535FF329">
            <wp:extent cx="1761256" cy="471837"/>
            <wp:effectExtent l="0" t="0" r="0" b="0"/>
            <wp:docPr id="10201" name="Picture 10201"/>
            <wp:cNvGraphicFramePr/>
            <a:graphic xmlns:a="http://schemas.openxmlformats.org/drawingml/2006/main">
              <a:graphicData uri="http://schemas.openxmlformats.org/drawingml/2006/picture">
                <pic:pic xmlns:pic="http://schemas.openxmlformats.org/drawingml/2006/picture">
                  <pic:nvPicPr>
                    <pic:cNvPr id="10201" name="Picture 10201"/>
                    <pic:cNvPicPr/>
                  </pic:nvPicPr>
                  <pic:blipFill>
                    <a:blip r:embed="rId30"/>
                    <a:stretch>
                      <a:fillRect/>
                    </a:stretch>
                  </pic:blipFill>
                  <pic:spPr>
                    <a:xfrm>
                      <a:off x="0" y="0"/>
                      <a:ext cx="1761256" cy="471837"/>
                    </a:xfrm>
                    <a:prstGeom prst="rect">
                      <a:avLst/>
                    </a:prstGeom>
                  </pic:spPr>
                </pic:pic>
              </a:graphicData>
            </a:graphic>
          </wp:inline>
        </w:drawing>
      </w:r>
    </w:p>
    <w:p w14:paraId="62D9C5CC" w14:textId="77777777" w:rsidR="00C45503" w:rsidRDefault="00624913">
      <w:pPr>
        <w:spacing w:after="0"/>
        <w:ind w:left="163"/>
      </w:pPr>
      <w:r>
        <w:rPr>
          <w:sz w:val="26"/>
        </w:rPr>
        <w:t>Les Marlborough</w:t>
      </w:r>
    </w:p>
    <w:p w14:paraId="57860C62" w14:textId="77777777" w:rsidR="00C45503" w:rsidRDefault="00624913">
      <w:pPr>
        <w:spacing w:after="0" w:line="265" w:lineRule="auto"/>
        <w:ind w:left="158" w:hanging="10"/>
      </w:pPr>
      <w:r>
        <w:rPr>
          <w:sz w:val="24"/>
        </w:rPr>
        <w:t>Inspector of Mines</w:t>
      </w:r>
    </w:p>
    <w:p w14:paraId="4C95ED4F" w14:textId="77777777" w:rsidR="00C45503" w:rsidRDefault="00624913">
      <w:pPr>
        <w:spacing w:after="5882" w:line="265" w:lineRule="auto"/>
        <w:ind w:left="158" w:hanging="10"/>
      </w:pPr>
      <w:r>
        <w:rPr>
          <w:sz w:val="24"/>
        </w:rPr>
        <w:t>Central Region</w:t>
      </w:r>
    </w:p>
    <w:p w14:paraId="2EBDC425" w14:textId="77777777" w:rsidR="00C45503" w:rsidRDefault="00624913">
      <w:pPr>
        <w:tabs>
          <w:tab w:val="center" w:pos="991"/>
          <w:tab w:val="center" w:pos="8769"/>
        </w:tabs>
        <w:spacing w:after="0"/>
      </w:pPr>
      <w:r>
        <w:lastRenderedPageBreak/>
        <w:tab/>
      </w:r>
      <w:r>
        <w:rPr>
          <w:noProof/>
        </w:rPr>
        <w:drawing>
          <wp:inline distT="0" distB="0" distL="0" distR="0" wp14:anchorId="230047AF" wp14:editId="5CCACB9B">
            <wp:extent cx="3232" cy="6463"/>
            <wp:effectExtent l="0" t="0" r="0" b="0"/>
            <wp:docPr id="10131" name="Picture 10131"/>
            <wp:cNvGraphicFramePr/>
            <a:graphic xmlns:a="http://schemas.openxmlformats.org/drawingml/2006/main">
              <a:graphicData uri="http://schemas.openxmlformats.org/drawingml/2006/picture">
                <pic:pic xmlns:pic="http://schemas.openxmlformats.org/drawingml/2006/picture">
                  <pic:nvPicPr>
                    <pic:cNvPr id="10131" name="Picture 10131"/>
                    <pic:cNvPicPr/>
                  </pic:nvPicPr>
                  <pic:blipFill>
                    <a:blip r:embed="rId31"/>
                    <a:stretch>
                      <a:fillRect/>
                    </a:stretch>
                  </pic:blipFill>
                  <pic:spPr>
                    <a:xfrm>
                      <a:off x="0" y="0"/>
                      <a:ext cx="3232" cy="6463"/>
                    </a:xfrm>
                    <a:prstGeom prst="rect">
                      <a:avLst/>
                    </a:prstGeom>
                  </pic:spPr>
                </pic:pic>
              </a:graphicData>
            </a:graphic>
          </wp:inline>
        </w:drawing>
      </w:r>
      <w:r>
        <w:tab/>
        <w:t xml:space="preserve">3 </w:t>
      </w:r>
    </w:p>
    <w:sectPr w:rsidR="00C45503">
      <w:footerReference w:type="even" r:id="rId32"/>
      <w:footerReference w:type="default" r:id="rId33"/>
      <w:footerReference w:type="first" r:id="rId34"/>
      <w:pgSz w:w="11909" w:h="16841"/>
      <w:pgMar w:top="1669" w:right="1252" w:bottom="489" w:left="1359"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746F" w14:textId="77777777" w:rsidR="00624913" w:rsidRDefault="00624913">
      <w:pPr>
        <w:spacing w:after="0" w:line="240" w:lineRule="auto"/>
      </w:pPr>
      <w:r>
        <w:separator/>
      </w:r>
    </w:p>
  </w:endnote>
  <w:endnote w:type="continuationSeparator" w:id="0">
    <w:p w14:paraId="1095993D" w14:textId="77777777" w:rsidR="00624913" w:rsidRDefault="0062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339E" w14:textId="77777777" w:rsidR="00C45503" w:rsidRDefault="00624913">
    <w:pPr>
      <w:tabs>
        <w:tab w:val="center" w:pos="4603"/>
        <w:tab w:val="center" w:pos="8700"/>
      </w:tabs>
      <w:spacing w:after="0"/>
    </w:pPr>
    <w:r>
      <w:rPr>
        <w:sz w:val="18"/>
      </w:rPr>
      <w:t>13/10/2017</w:t>
    </w:r>
    <w:r>
      <w:rPr>
        <w:sz w:val="18"/>
      </w:rPr>
      <w:tab/>
    </w:r>
    <w:r>
      <w:rPr>
        <w:sz w:val="18"/>
      </w:rPr>
      <w:t>Mine Record Entry</w:t>
    </w:r>
    <w:r>
      <w:rPr>
        <w:sz w:val="18"/>
      </w:rPr>
      <w:tab/>
    </w:r>
    <w:r>
      <w:rPr>
        <w:sz w:val="20"/>
      </w:rPr>
      <w:t xml:space="preserve">Page </w:t>
    </w:r>
    <w:r>
      <w:rPr>
        <w:sz w:val="18"/>
      </w:rPr>
      <w:t xml:space="preserve">of </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CA8B" w14:textId="77777777" w:rsidR="00C45503" w:rsidRDefault="00624913">
    <w:pPr>
      <w:tabs>
        <w:tab w:val="center" w:pos="4603"/>
        <w:tab w:val="center" w:pos="8700"/>
      </w:tabs>
      <w:spacing w:after="0"/>
    </w:pPr>
    <w:r>
      <w:rPr>
        <w:sz w:val="18"/>
      </w:rPr>
      <w:t>13/10/2017</w:t>
    </w:r>
    <w:r>
      <w:rPr>
        <w:sz w:val="18"/>
      </w:rPr>
      <w:tab/>
    </w:r>
    <w:r>
      <w:rPr>
        <w:sz w:val="18"/>
      </w:rPr>
      <w:t>Mine Record Entry</w:t>
    </w:r>
    <w:r>
      <w:rPr>
        <w:sz w:val="18"/>
      </w:rPr>
      <w:tab/>
    </w:r>
    <w:r>
      <w:rPr>
        <w:sz w:val="20"/>
      </w:rPr>
      <w:t xml:space="preserve">Page </w:t>
    </w:r>
    <w:r>
      <w:rPr>
        <w:sz w:val="18"/>
      </w:rPr>
      <w:t xml:space="preserve">of </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4CD2" w14:textId="77777777" w:rsidR="00C45503" w:rsidRDefault="00624913">
    <w:pPr>
      <w:tabs>
        <w:tab w:val="center" w:pos="4603"/>
        <w:tab w:val="center" w:pos="8700"/>
      </w:tabs>
      <w:spacing w:after="0"/>
    </w:pPr>
    <w:r>
      <w:rPr>
        <w:sz w:val="18"/>
      </w:rPr>
      <w:t>13/10/2017</w:t>
    </w:r>
    <w:r>
      <w:rPr>
        <w:sz w:val="18"/>
      </w:rPr>
      <w:tab/>
    </w:r>
    <w:r>
      <w:rPr>
        <w:sz w:val="18"/>
      </w:rPr>
      <w:t>Mine Record Entry</w:t>
    </w:r>
    <w:r>
      <w:rPr>
        <w:sz w:val="18"/>
      </w:rPr>
      <w:tab/>
    </w:r>
    <w:r>
      <w:rPr>
        <w:sz w:val="20"/>
      </w:rPr>
      <w:t xml:space="preserve">Page </w:t>
    </w:r>
    <w:r>
      <w:rPr>
        <w:sz w:val="18"/>
      </w:rPr>
      <w:t xml:space="preserve">of </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9A421" w14:textId="77777777" w:rsidR="00624913" w:rsidRDefault="00624913">
      <w:pPr>
        <w:spacing w:after="0" w:line="240" w:lineRule="auto"/>
      </w:pPr>
      <w:r>
        <w:separator/>
      </w:r>
    </w:p>
  </w:footnote>
  <w:footnote w:type="continuationSeparator" w:id="0">
    <w:p w14:paraId="35E570A7" w14:textId="77777777" w:rsidR="00624913" w:rsidRDefault="00624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10C7A"/>
    <w:multiLevelType w:val="hybridMultilevel"/>
    <w:tmpl w:val="9014FC52"/>
    <w:lvl w:ilvl="0" w:tplc="84F884DC">
      <w:start w:val="10"/>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6E69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A1C4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2003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E73AE">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ECC5A">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A6FC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43EA8">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A640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7C5EFB"/>
    <w:multiLevelType w:val="hybridMultilevel"/>
    <w:tmpl w:val="17E050D0"/>
    <w:lvl w:ilvl="0" w:tplc="AF0E23AC">
      <w:start w:val="6"/>
      <w:numFmt w:val="decimal"/>
      <w:lvlText w:val="%1"/>
      <w:lvlJc w:val="left"/>
      <w:pPr>
        <w:ind w:left="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C61362">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BC4F5C">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827870">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869B4">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1E92C6">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6A2CAC">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021100">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96FE52">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03"/>
    <w:rsid w:val="00624913"/>
    <w:rsid w:val="007206AD"/>
    <w:rsid w:val="00C45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CA5"/>
  <w15:docId w15:val="{F6122038-B79F-455F-96B1-630C3603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2021-07-13T02:08:00Z</dcterms:created>
  <dcterms:modified xsi:type="dcterms:W3CDTF">2021-07-13T02:08:00Z</dcterms:modified>
</cp:coreProperties>
</file>