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3E57" w14:textId="77777777" w:rsidR="006E2693" w:rsidRDefault="005F23CC">
      <w:pPr>
        <w:spacing w:after="0"/>
        <w:ind w:left="3356" w:hanging="10"/>
        <w:jc w:val="center"/>
      </w:pPr>
      <w:r>
        <w:rPr>
          <w:sz w:val="20"/>
        </w:rPr>
        <w:t>Mackay District Office</w:t>
      </w:r>
    </w:p>
    <w:p w14:paraId="641488EA" w14:textId="77777777" w:rsidR="006E2693" w:rsidRDefault="005F23CC">
      <w:pPr>
        <w:tabs>
          <w:tab w:val="center" w:pos="2622"/>
          <w:tab w:val="center" w:pos="6904"/>
        </w:tabs>
        <w:spacing w:after="10"/>
      </w:pPr>
      <w:r>
        <w:rPr>
          <w:sz w:val="20"/>
        </w:rPr>
        <w:tab/>
      </w:r>
      <w:r>
        <w:rPr>
          <w:noProof/>
        </w:rPr>
        <w:drawing>
          <wp:inline distT="0" distB="0" distL="0" distR="0" wp14:anchorId="25335EE1" wp14:editId="3ECBA3A6">
            <wp:extent cx="356401" cy="18272"/>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5"/>
                    <a:stretch>
                      <a:fillRect/>
                    </a:stretch>
                  </pic:blipFill>
                  <pic:spPr>
                    <a:xfrm>
                      <a:off x="0" y="0"/>
                      <a:ext cx="356401" cy="18272"/>
                    </a:xfrm>
                    <a:prstGeom prst="rect">
                      <a:avLst/>
                    </a:prstGeom>
                  </pic:spPr>
                </pic:pic>
              </a:graphicData>
            </a:graphic>
          </wp:inline>
        </w:drawing>
      </w:r>
      <w:r>
        <w:rPr>
          <w:sz w:val="20"/>
        </w:rPr>
        <w:tab/>
        <w:t>P.O. Box 1801, MACKAY QLD 4740</w:t>
      </w:r>
    </w:p>
    <w:p w14:paraId="02D555C6" w14:textId="77777777" w:rsidR="006E2693" w:rsidRDefault="005F23CC">
      <w:pPr>
        <w:tabs>
          <w:tab w:val="center" w:pos="2569"/>
          <w:tab w:val="center" w:pos="7127"/>
        </w:tabs>
        <w:spacing w:after="3"/>
      </w:pPr>
      <w:r>
        <w:rPr>
          <w:sz w:val="18"/>
        </w:rPr>
        <w:tab/>
        <w:t>Queensland Government</w:t>
      </w:r>
      <w:r>
        <w:rPr>
          <w:sz w:val="18"/>
        </w:rPr>
        <w:tab/>
        <w:t>Phone: (07) 4999 8512, Fax: (07) 4999 8519</w:t>
      </w:r>
    </w:p>
    <w:p w14:paraId="4D483B76" w14:textId="77777777" w:rsidR="006E2693" w:rsidRDefault="005F23CC">
      <w:pPr>
        <w:spacing w:after="199"/>
        <w:ind w:left="892"/>
      </w:pPr>
      <w:r>
        <w:rPr>
          <w:noProof/>
        </w:rPr>
        <w:drawing>
          <wp:inline distT="0" distB="0" distL="0" distR="0" wp14:anchorId="2551DCD7" wp14:editId="5091ED29">
            <wp:extent cx="4569" cy="913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6"/>
                    <a:stretch>
                      <a:fillRect/>
                    </a:stretch>
                  </pic:blipFill>
                  <pic:spPr>
                    <a:xfrm>
                      <a:off x="0" y="0"/>
                      <a:ext cx="4569" cy="9136"/>
                    </a:xfrm>
                    <a:prstGeom prst="rect">
                      <a:avLst/>
                    </a:prstGeom>
                  </pic:spPr>
                </pic:pic>
              </a:graphicData>
            </a:graphic>
          </wp:inline>
        </w:drawing>
      </w:r>
    </w:p>
    <w:tbl>
      <w:tblPr>
        <w:tblStyle w:val="TableGrid"/>
        <w:tblW w:w="9376" w:type="dxa"/>
        <w:tblInd w:w="79" w:type="dxa"/>
        <w:tblCellMar>
          <w:top w:w="43" w:type="dxa"/>
          <w:right w:w="94" w:type="dxa"/>
        </w:tblCellMar>
        <w:tblLook w:val="04A0" w:firstRow="1" w:lastRow="0" w:firstColumn="1" w:lastColumn="0" w:noHBand="0" w:noVBand="1"/>
      </w:tblPr>
      <w:tblGrid>
        <w:gridCol w:w="2408"/>
        <w:gridCol w:w="949"/>
        <w:gridCol w:w="1998"/>
        <w:gridCol w:w="1824"/>
        <w:gridCol w:w="1031"/>
        <w:gridCol w:w="1166"/>
      </w:tblGrid>
      <w:tr w:rsidR="006E2693" w14:paraId="0FC631CD" w14:textId="77777777">
        <w:trPr>
          <w:trHeight w:val="283"/>
        </w:trPr>
        <w:tc>
          <w:tcPr>
            <w:tcW w:w="2418" w:type="dxa"/>
            <w:tcBorders>
              <w:top w:val="single" w:sz="2" w:space="0" w:color="000000"/>
              <w:left w:val="nil"/>
              <w:bottom w:val="single" w:sz="2" w:space="0" w:color="000000"/>
              <w:right w:val="nil"/>
            </w:tcBorders>
          </w:tcPr>
          <w:p w14:paraId="671DEFFD" w14:textId="77777777" w:rsidR="006E2693" w:rsidRDefault="005F23CC">
            <w:pPr>
              <w:ind w:left="22"/>
            </w:pPr>
            <w:r>
              <w:t>Mine Name</w:t>
            </w:r>
          </w:p>
        </w:tc>
        <w:tc>
          <w:tcPr>
            <w:tcW w:w="950" w:type="dxa"/>
            <w:tcBorders>
              <w:top w:val="single" w:sz="2" w:space="0" w:color="000000"/>
              <w:left w:val="nil"/>
              <w:bottom w:val="single" w:sz="2" w:space="0" w:color="000000"/>
              <w:right w:val="nil"/>
            </w:tcBorders>
          </w:tcPr>
          <w:p w14:paraId="028CB0C1" w14:textId="77777777" w:rsidR="006E2693" w:rsidRDefault="005F23CC">
            <w:r>
              <w:t>Mine ID</w:t>
            </w:r>
          </w:p>
        </w:tc>
        <w:tc>
          <w:tcPr>
            <w:tcW w:w="2000" w:type="dxa"/>
            <w:tcBorders>
              <w:top w:val="single" w:sz="2" w:space="0" w:color="000000"/>
              <w:left w:val="nil"/>
              <w:bottom w:val="single" w:sz="2" w:space="0" w:color="000000"/>
              <w:right w:val="nil"/>
            </w:tcBorders>
          </w:tcPr>
          <w:p w14:paraId="6A65888B" w14:textId="77777777" w:rsidR="006E2693" w:rsidRDefault="005F23CC">
            <w:pPr>
              <w:ind w:left="410"/>
            </w:pPr>
            <w:r>
              <w:rPr>
                <w:sz w:val="24"/>
              </w:rPr>
              <w:t>Operator</w:t>
            </w:r>
          </w:p>
        </w:tc>
        <w:tc>
          <w:tcPr>
            <w:tcW w:w="1828" w:type="dxa"/>
            <w:tcBorders>
              <w:top w:val="single" w:sz="2" w:space="0" w:color="000000"/>
              <w:left w:val="nil"/>
              <w:bottom w:val="single" w:sz="2" w:space="0" w:color="000000"/>
              <w:right w:val="nil"/>
            </w:tcBorders>
          </w:tcPr>
          <w:p w14:paraId="543431AF" w14:textId="77777777" w:rsidR="006E2693" w:rsidRDefault="005F23CC">
            <w:pPr>
              <w:ind w:left="58"/>
            </w:pPr>
            <w:r>
              <w:rPr>
                <w:sz w:val="24"/>
              </w:rPr>
              <w:t>Activity Type</w:t>
            </w:r>
          </w:p>
        </w:tc>
        <w:tc>
          <w:tcPr>
            <w:tcW w:w="1015" w:type="dxa"/>
            <w:tcBorders>
              <w:top w:val="single" w:sz="2" w:space="0" w:color="000000"/>
              <w:left w:val="nil"/>
              <w:bottom w:val="single" w:sz="2" w:space="0" w:color="000000"/>
              <w:right w:val="nil"/>
            </w:tcBorders>
          </w:tcPr>
          <w:p w14:paraId="7162FAB6" w14:textId="77777777" w:rsidR="006E2693" w:rsidRDefault="005F23CC">
            <w:r>
              <w:rPr>
                <w:sz w:val="26"/>
              </w:rPr>
              <w:t>Region</w:t>
            </w:r>
          </w:p>
        </w:tc>
        <w:tc>
          <w:tcPr>
            <w:tcW w:w="1166" w:type="dxa"/>
            <w:tcBorders>
              <w:top w:val="single" w:sz="2" w:space="0" w:color="000000"/>
              <w:left w:val="nil"/>
              <w:bottom w:val="single" w:sz="2" w:space="0" w:color="000000"/>
              <w:right w:val="nil"/>
            </w:tcBorders>
          </w:tcPr>
          <w:p w14:paraId="7D3906C8" w14:textId="77777777" w:rsidR="006E2693" w:rsidRDefault="005F23CC">
            <w:r>
              <w:t>Activity Date</w:t>
            </w:r>
          </w:p>
        </w:tc>
      </w:tr>
      <w:tr w:rsidR="006E2693" w14:paraId="3F378040" w14:textId="77777777">
        <w:trPr>
          <w:trHeight w:val="403"/>
        </w:trPr>
        <w:tc>
          <w:tcPr>
            <w:tcW w:w="2418" w:type="dxa"/>
            <w:tcBorders>
              <w:top w:val="single" w:sz="2" w:space="0" w:color="000000"/>
              <w:left w:val="nil"/>
              <w:bottom w:val="single" w:sz="2" w:space="0" w:color="000000"/>
              <w:right w:val="nil"/>
            </w:tcBorders>
          </w:tcPr>
          <w:p w14:paraId="417144CA" w14:textId="77777777" w:rsidR="006E2693" w:rsidRDefault="005F23CC">
            <w:pPr>
              <w:ind w:left="14"/>
            </w:pPr>
            <w:r>
              <w:rPr>
                <w:sz w:val="18"/>
              </w:rPr>
              <w:t>Grosvenor Coal Mine</w:t>
            </w:r>
          </w:p>
        </w:tc>
        <w:tc>
          <w:tcPr>
            <w:tcW w:w="950" w:type="dxa"/>
            <w:tcBorders>
              <w:top w:val="single" w:sz="2" w:space="0" w:color="000000"/>
              <w:left w:val="nil"/>
              <w:bottom w:val="single" w:sz="2" w:space="0" w:color="000000"/>
              <w:right w:val="nil"/>
            </w:tcBorders>
          </w:tcPr>
          <w:p w14:paraId="3168BF84" w14:textId="77777777" w:rsidR="006E2693" w:rsidRDefault="005F23CC">
            <w:pPr>
              <w:ind w:left="36"/>
            </w:pPr>
            <w:r>
              <w:rPr>
                <w:sz w:val="16"/>
              </w:rPr>
              <w:t xml:space="preserve">M102976 </w:t>
            </w:r>
          </w:p>
        </w:tc>
        <w:tc>
          <w:tcPr>
            <w:tcW w:w="2000" w:type="dxa"/>
            <w:tcBorders>
              <w:top w:val="single" w:sz="2" w:space="0" w:color="000000"/>
              <w:left w:val="nil"/>
              <w:bottom w:val="single" w:sz="2" w:space="0" w:color="000000"/>
              <w:right w:val="nil"/>
            </w:tcBorders>
          </w:tcPr>
          <w:p w14:paraId="1A880565" w14:textId="77777777" w:rsidR="006E2693" w:rsidRDefault="005F23CC">
            <w:pPr>
              <w:ind w:left="58" w:hanging="58"/>
            </w:pPr>
            <w:r>
              <w:rPr>
                <w:sz w:val="18"/>
              </w:rPr>
              <w:t>Anglo Coal (Grosvenor Management) Pty Ltd</w:t>
            </w:r>
          </w:p>
        </w:tc>
        <w:tc>
          <w:tcPr>
            <w:tcW w:w="1828" w:type="dxa"/>
            <w:tcBorders>
              <w:top w:val="single" w:sz="2" w:space="0" w:color="000000"/>
              <w:left w:val="nil"/>
              <w:bottom w:val="single" w:sz="2" w:space="0" w:color="000000"/>
              <w:right w:val="nil"/>
            </w:tcBorders>
          </w:tcPr>
          <w:p w14:paraId="6F43B061" w14:textId="77777777" w:rsidR="006E2693" w:rsidRDefault="005F23CC">
            <w:r>
              <w:rPr>
                <w:sz w:val="18"/>
              </w:rPr>
              <w:t>Compliance Action</w:t>
            </w:r>
          </w:p>
        </w:tc>
        <w:tc>
          <w:tcPr>
            <w:tcW w:w="1015" w:type="dxa"/>
            <w:tcBorders>
              <w:top w:val="single" w:sz="2" w:space="0" w:color="000000"/>
              <w:left w:val="nil"/>
              <w:bottom w:val="single" w:sz="2" w:space="0" w:color="000000"/>
              <w:right w:val="nil"/>
            </w:tcBorders>
          </w:tcPr>
          <w:p w14:paraId="12D27E64" w14:textId="77777777" w:rsidR="006E2693" w:rsidRDefault="005F23CC">
            <w:pPr>
              <w:ind w:left="72"/>
            </w:pPr>
            <w:r>
              <w:rPr>
                <w:sz w:val="18"/>
              </w:rPr>
              <w:t>Central</w:t>
            </w:r>
          </w:p>
        </w:tc>
        <w:tc>
          <w:tcPr>
            <w:tcW w:w="1166" w:type="dxa"/>
            <w:tcBorders>
              <w:top w:val="single" w:sz="2" w:space="0" w:color="000000"/>
              <w:left w:val="nil"/>
              <w:bottom w:val="single" w:sz="2" w:space="0" w:color="000000"/>
              <w:right w:val="nil"/>
            </w:tcBorders>
          </w:tcPr>
          <w:p w14:paraId="30476D43" w14:textId="77777777" w:rsidR="006E2693" w:rsidRDefault="005F23CC">
            <w:pPr>
              <w:ind w:left="137"/>
            </w:pPr>
            <w:r>
              <w:rPr>
                <w:rFonts w:ascii="Calibri" w:eastAsia="Calibri" w:hAnsi="Calibri" w:cs="Calibri"/>
                <w:sz w:val="18"/>
              </w:rPr>
              <w:t>26/04/2017</w:t>
            </w:r>
          </w:p>
        </w:tc>
      </w:tr>
    </w:tbl>
    <w:p w14:paraId="4F3FFA14" w14:textId="77777777" w:rsidR="006E2693" w:rsidRDefault="005F23CC">
      <w:pPr>
        <w:spacing w:after="339"/>
        <w:ind w:left="226" w:hanging="10"/>
        <w:jc w:val="center"/>
      </w:pPr>
      <w:r>
        <w:rPr>
          <w:sz w:val="20"/>
        </w:rPr>
        <w:t>Vision: Our Industries Free of Safety and Health Incidents</w:t>
      </w:r>
    </w:p>
    <w:p w14:paraId="6469C182" w14:textId="77777777" w:rsidR="006E2693" w:rsidRDefault="005F23CC">
      <w:pPr>
        <w:pStyle w:val="Heading1"/>
      </w:pPr>
      <w:r>
        <w:t>Mine Record Entry</w:t>
      </w:r>
    </w:p>
    <w:p w14:paraId="483175D0" w14:textId="77777777" w:rsidR="006E2693" w:rsidRDefault="005F23CC">
      <w:pPr>
        <w:spacing w:after="47" w:line="216" w:lineRule="auto"/>
        <w:ind w:left="10" w:right="-165" w:hanging="10"/>
        <w:jc w:val="center"/>
      </w:pPr>
      <w:r>
        <w:rPr>
          <w:rFonts w:ascii="Calibri" w:eastAsia="Calibri" w:hAnsi="Calibri" w:cs="Calibri"/>
          <w:sz w:val="26"/>
        </w:rPr>
        <w:t>This report forms part of the Mine Record under s68 of the Coal Mining Safety and</w:t>
      </w:r>
    </w:p>
    <w:p w14:paraId="2C818162" w14:textId="77777777" w:rsidR="006E2693" w:rsidRDefault="005F23CC">
      <w:pPr>
        <w:spacing w:after="110" w:line="216" w:lineRule="auto"/>
        <w:ind w:left="10" w:hanging="10"/>
        <w:jc w:val="center"/>
      </w:pPr>
      <w:r>
        <w:rPr>
          <w:rFonts w:ascii="Calibri" w:eastAsia="Calibri" w:hAnsi="Calibri" w:cs="Calibri"/>
          <w:sz w:val="26"/>
        </w:rPr>
        <w:t>Health Act 1999. It must be placed in the Mine Record and displayed on Safety Notice Boards.</w:t>
      </w:r>
    </w:p>
    <w:p w14:paraId="7F4D57C0" w14:textId="77777777" w:rsidR="006E2693" w:rsidRDefault="005F23CC">
      <w:pPr>
        <w:spacing w:after="663" w:line="216" w:lineRule="auto"/>
        <w:ind w:left="137" w:firstLine="108"/>
        <w:jc w:val="both"/>
      </w:pPr>
      <w:r>
        <w:rPr>
          <w:rFonts w:ascii="Calibri" w:eastAsia="Calibri" w:hAnsi="Calibri" w:cs="Calibri"/>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552C6812" w14:textId="77777777" w:rsidR="006E2693" w:rsidRDefault="005F23CC">
      <w:pPr>
        <w:spacing w:after="38" w:line="216" w:lineRule="auto"/>
        <w:ind w:left="17" w:right="86" w:hanging="3"/>
        <w:jc w:val="both"/>
      </w:pPr>
      <w:r>
        <w:rPr>
          <w:sz w:val="24"/>
        </w:rPr>
        <w:t xml:space="preserve">A level 3 compliance meeting was held in the Brisbane head office of the DNRM on the </w:t>
      </w:r>
      <w:proofErr w:type="gramStart"/>
      <w:r>
        <w:rPr>
          <w:sz w:val="24"/>
        </w:rPr>
        <w:t>26</w:t>
      </w:r>
      <w:r>
        <w:rPr>
          <w:sz w:val="24"/>
          <w:vertAlign w:val="superscript"/>
        </w:rPr>
        <w:t>th</w:t>
      </w:r>
      <w:proofErr w:type="gramEnd"/>
      <w:r>
        <w:rPr>
          <w:sz w:val="24"/>
          <w:vertAlign w:val="superscript"/>
        </w:rPr>
        <w:t xml:space="preserve"> </w:t>
      </w:r>
      <w:r>
        <w:rPr>
          <w:sz w:val="24"/>
        </w:rPr>
        <w:t>April 2017 to deliver the findings of an investigation to a complaint raised about Mr Foulstone when he was the SSE at Grosvenor mine.</w:t>
      </w:r>
    </w:p>
    <w:p w14:paraId="23A1562E" w14:textId="77777777" w:rsidR="006E2693" w:rsidRDefault="005F23CC">
      <w:pPr>
        <w:spacing w:after="512" w:line="217" w:lineRule="auto"/>
        <w:ind w:left="104" w:right="129" w:hanging="3"/>
      </w:pPr>
      <w:r>
        <w:rPr>
          <w:sz w:val="24"/>
        </w:rPr>
        <w:t>Deputy Chief Inspector Shaun Dobson chaired the meeting with the following persons in attendance:</w:t>
      </w:r>
    </w:p>
    <w:p w14:paraId="7F73DBCE" w14:textId="77777777" w:rsidR="006E2693" w:rsidRDefault="005F23CC">
      <w:pPr>
        <w:pStyle w:val="Heading2"/>
      </w:pPr>
      <w:r>
        <w:rPr>
          <w:noProof/>
        </w:rPr>
        <w:drawing>
          <wp:anchor distT="0" distB="0" distL="114300" distR="114300" simplePos="0" relativeHeight="251658240" behindDoc="0" locked="0" layoutInCell="1" allowOverlap="0" wp14:anchorId="09441B8F" wp14:editId="14E1F260">
            <wp:simplePos x="0" y="0"/>
            <wp:positionH relativeFrom="page">
              <wp:posOffset>6808165</wp:posOffset>
            </wp:positionH>
            <wp:positionV relativeFrom="page">
              <wp:posOffset>7934779</wp:posOffset>
            </wp:positionV>
            <wp:extent cx="4569" cy="4568"/>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59264" behindDoc="0" locked="0" layoutInCell="1" allowOverlap="0" wp14:anchorId="3B1C13E8" wp14:editId="3F348C9D">
            <wp:simplePos x="0" y="0"/>
            <wp:positionH relativeFrom="page">
              <wp:posOffset>6808165</wp:posOffset>
            </wp:positionH>
            <wp:positionV relativeFrom="page">
              <wp:posOffset>7943915</wp:posOffset>
            </wp:positionV>
            <wp:extent cx="4569" cy="4568"/>
            <wp:effectExtent l="0" t="0" r="0" b="0"/>
            <wp:wrapSquare wrapText="bothSides"/>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7"/>
                    <a:stretch>
                      <a:fillRect/>
                    </a:stretch>
                  </pic:blipFill>
                  <pic:spPr>
                    <a:xfrm>
                      <a:off x="0" y="0"/>
                      <a:ext cx="4569" cy="4568"/>
                    </a:xfrm>
                    <a:prstGeom prst="rect">
                      <a:avLst/>
                    </a:prstGeom>
                  </pic:spPr>
                </pic:pic>
              </a:graphicData>
            </a:graphic>
          </wp:anchor>
        </w:drawing>
      </w:r>
      <w:r>
        <w:t>DNRM</w:t>
      </w:r>
    </w:p>
    <w:tbl>
      <w:tblPr>
        <w:tblStyle w:val="TableGrid"/>
        <w:tblW w:w="6159" w:type="dxa"/>
        <w:tblInd w:w="86" w:type="dxa"/>
        <w:tblLook w:val="04A0" w:firstRow="1" w:lastRow="0" w:firstColumn="1" w:lastColumn="0" w:noHBand="0" w:noVBand="1"/>
      </w:tblPr>
      <w:tblGrid>
        <w:gridCol w:w="2195"/>
        <w:gridCol w:w="3964"/>
      </w:tblGrid>
      <w:tr w:rsidR="006E2693" w14:paraId="0678FE74" w14:textId="77777777">
        <w:trPr>
          <w:trHeight w:val="1069"/>
        </w:trPr>
        <w:tc>
          <w:tcPr>
            <w:tcW w:w="2195" w:type="dxa"/>
            <w:tcBorders>
              <w:top w:val="nil"/>
              <w:left w:val="nil"/>
              <w:bottom w:val="nil"/>
              <w:right w:val="nil"/>
            </w:tcBorders>
          </w:tcPr>
          <w:p w14:paraId="1AC4576A" w14:textId="77777777" w:rsidR="006E2693" w:rsidRDefault="005F23CC">
            <w:pPr>
              <w:spacing w:after="453"/>
            </w:pPr>
            <w:r>
              <w:rPr>
                <w:sz w:val="24"/>
              </w:rPr>
              <w:t>Andrew Smith</w:t>
            </w:r>
          </w:p>
          <w:p w14:paraId="795A2E6F" w14:textId="77777777" w:rsidR="006E2693" w:rsidRDefault="005F23CC">
            <w:pPr>
              <w:ind w:left="7"/>
            </w:pPr>
            <w:proofErr w:type="spellStart"/>
            <w:r>
              <w:rPr>
                <w:sz w:val="26"/>
                <w:u w:val="single" w:color="000000"/>
              </w:rPr>
              <w:t>AnqloAmerican</w:t>
            </w:r>
            <w:proofErr w:type="spellEnd"/>
          </w:p>
        </w:tc>
        <w:tc>
          <w:tcPr>
            <w:tcW w:w="3965" w:type="dxa"/>
            <w:tcBorders>
              <w:top w:val="nil"/>
              <w:left w:val="nil"/>
              <w:bottom w:val="nil"/>
              <w:right w:val="nil"/>
            </w:tcBorders>
          </w:tcPr>
          <w:p w14:paraId="13B4499E" w14:textId="77777777" w:rsidR="006E2693" w:rsidRDefault="005F23CC">
            <w:pPr>
              <w:ind w:left="7"/>
            </w:pPr>
            <w:r>
              <w:rPr>
                <w:sz w:val="24"/>
              </w:rPr>
              <w:t>Principal Investigation Officer</w:t>
            </w:r>
          </w:p>
        </w:tc>
      </w:tr>
      <w:tr w:rsidR="006E2693" w14:paraId="1B877B8F" w14:textId="77777777">
        <w:trPr>
          <w:trHeight w:val="384"/>
        </w:trPr>
        <w:tc>
          <w:tcPr>
            <w:tcW w:w="2195" w:type="dxa"/>
            <w:tcBorders>
              <w:top w:val="nil"/>
              <w:left w:val="nil"/>
              <w:bottom w:val="nil"/>
              <w:right w:val="nil"/>
            </w:tcBorders>
          </w:tcPr>
          <w:p w14:paraId="6AC669A0" w14:textId="77777777" w:rsidR="006E2693" w:rsidRDefault="005F23CC">
            <w:pPr>
              <w:ind w:left="14"/>
            </w:pPr>
            <w:r>
              <w:rPr>
                <w:sz w:val="24"/>
              </w:rPr>
              <w:t>Glenn Britton</w:t>
            </w:r>
          </w:p>
        </w:tc>
        <w:tc>
          <w:tcPr>
            <w:tcW w:w="3965" w:type="dxa"/>
            <w:tcBorders>
              <w:top w:val="nil"/>
              <w:left w:val="nil"/>
              <w:bottom w:val="nil"/>
              <w:right w:val="nil"/>
            </w:tcBorders>
          </w:tcPr>
          <w:p w14:paraId="58CF15E3" w14:textId="77777777" w:rsidR="006E2693" w:rsidRDefault="005F23CC">
            <w:pPr>
              <w:ind w:left="7"/>
            </w:pPr>
            <w:r>
              <w:rPr>
                <w:sz w:val="24"/>
              </w:rPr>
              <w:t>Head of Underground Operations</w:t>
            </w:r>
          </w:p>
        </w:tc>
      </w:tr>
      <w:tr w:rsidR="006E2693" w14:paraId="2BA9FDFD" w14:textId="77777777">
        <w:trPr>
          <w:trHeight w:val="294"/>
        </w:trPr>
        <w:tc>
          <w:tcPr>
            <w:tcW w:w="2195" w:type="dxa"/>
            <w:tcBorders>
              <w:top w:val="nil"/>
              <w:left w:val="nil"/>
              <w:bottom w:val="nil"/>
              <w:right w:val="nil"/>
            </w:tcBorders>
          </w:tcPr>
          <w:p w14:paraId="379BEB7A" w14:textId="77777777" w:rsidR="006E2693" w:rsidRDefault="005F23CC">
            <w:r>
              <w:rPr>
                <w:sz w:val="26"/>
              </w:rPr>
              <w:t>Adam Foulstone</w:t>
            </w:r>
          </w:p>
        </w:tc>
        <w:tc>
          <w:tcPr>
            <w:tcW w:w="3965" w:type="dxa"/>
            <w:tcBorders>
              <w:top w:val="nil"/>
              <w:left w:val="nil"/>
              <w:bottom w:val="nil"/>
              <w:right w:val="nil"/>
            </w:tcBorders>
          </w:tcPr>
          <w:p w14:paraId="73A56894" w14:textId="77777777" w:rsidR="006E2693" w:rsidRDefault="005F23CC">
            <w:pPr>
              <w:jc w:val="both"/>
            </w:pPr>
            <w:r>
              <w:rPr>
                <w:sz w:val="24"/>
              </w:rPr>
              <w:t>General Manager: Underground Projects</w:t>
            </w:r>
          </w:p>
        </w:tc>
      </w:tr>
    </w:tbl>
    <w:p w14:paraId="33818F14" w14:textId="77777777" w:rsidR="006E2693" w:rsidRDefault="005F23CC">
      <w:pPr>
        <w:spacing w:after="38" w:line="216" w:lineRule="auto"/>
        <w:ind w:left="104" w:right="252" w:hanging="3"/>
        <w:jc w:val="both"/>
      </w:pPr>
      <w:r>
        <w:rPr>
          <w:sz w:val="24"/>
        </w:rPr>
        <w:t xml:space="preserve">Deputy Chief Inspector Dobson opened the meeting and explained the findings of an investigation undertaken by Inspector Keith Brennan. </w:t>
      </w:r>
      <w:r w:rsidRPr="006F7E98">
        <w:rPr>
          <w:sz w:val="24"/>
          <w:highlight w:val="yellow"/>
        </w:rPr>
        <w:t>The investigation was conducted after an anonymous complaint was raised by a former member of the mine management had detailed several issues of SSE Foulstone giving instructions to statutory officials whilst not being in the possession of a statutory certificate of competency</w:t>
      </w:r>
      <w:r>
        <w:rPr>
          <w:sz w:val="24"/>
        </w:rPr>
        <w:t>.</w:t>
      </w:r>
    </w:p>
    <w:p w14:paraId="0C5AC6A3" w14:textId="77777777" w:rsidR="006E2693" w:rsidRPr="006F7E98" w:rsidRDefault="005F23CC">
      <w:pPr>
        <w:spacing w:after="56" w:line="217" w:lineRule="auto"/>
        <w:ind w:left="89" w:right="129" w:hanging="3"/>
        <w:rPr>
          <w:highlight w:val="yellow"/>
        </w:rPr>
      </w:pPr>
      <w:r w:rsidRPr="006F7E98">
        <w:rPr>
          <w:sz w:val="24"/>
          <w:highlight w:val="yellow"/>
        </w:rPr>
        <w:t>A thorough investigation of all these matters was conducted by Inspector Brennan which concluded with the findings that this could only be verified for one matter. The evidence for this matter indicated that a breach of section 60(</w:t>
      </w:r>
      <w:proofErr w:type="gramStart"/>
      <w:r w:rsidRPr="006F7E98">
        <w:rPr>
          <w:sz w:val="24"/>
          <w:highlight w:val="yellow"/>
        </w:rPr>
        <w:t>6)of</w:t>
      </w:r>
      <w:proofErr w:type="gramEnd"/>
      <w:r w:rsidRPr="006F7E98">
        <w:rPr>
          <w:sz w:val="24"/>
          <w:highlight w:val="yellow"/>
        </w:rPr>
        <w:t xml:space="preserve"> the Act;</w:t>
      </w:r>
    </w:p>
    <w:p w14:paraId="118322ED" w14:textId="77777777" w:rsidR="006E2693" w:rsidRPr="006F7E98" w:rsidRDefault="005F23CC">
      <w:pPr>
        <w:spacing w:after="0"/>
        <w:ind w:left="115"/>
        <w:rPr>
          <w:highlight w:val="yellow"/>
        </w:rPr>
      </w:pPr>
      <w:r w:rsidRPr="006F7E98">
        <w:rPr>
          <w:sz w:val="24"/>
          <w:highlight w:val="yellow"/>
        </w:rPr>
        <w:t>60 Additional requirements for management of underground mines</w:t>
      </w:r>
    </w:p>
    <w:p w14:paraId="6EDF8B0D" w14:textId="77777777" w:rsidR="006E2693" w:rsidRPr="006F7E98" w:rsidRDefault="005F23CC">
      <w:pPr>
        <w:spacing w:after="171"/>
        <w:ind w:left="101"/>
        <w:rPr>
          <w:highlight w:val="yellow"/>
        </w:rPr>
      </w:pPr>
      <w:r w:rsidRPr="006F7E98">
        <w:rPr>
          <w:sz w:val="28"/>
          <w:highlight w:val="yellow"/>
        </w:rPr>
        <w:lastRenderedPageBreak/>
        <w:t>(1) This section applies to an underground mine.</w:t>
      </w:r>
    </w:p>
    <w:p w14:paraId="10E67154" w14:textId="77777777" w:rsidR="006E2693" w:rsidRPr="006F7E98" w:rsidRDefault="005F23CC">
      <w:pPr>
        <w:spacing w:after="484" w:line="216" w:lineRule="auto"/>
        <w:ind w:left="86" w:right="331" w:firstLine="4"/>
        <w:jc w:val="both"/>
        <w:rPr>
          <w:highlight w:val="yellow"/>
        </w:rPr>
      </w:pPr>
      <w:r w:rsidRPr="006F7E98">
        <w:rPr>
          <w:sz w:val="26"/>
          <w:highlight w:val="yellow"/>
        </w:rPr>
        <w:t xml:space="preserve">(6) A person must not give a direction to the underground mine manager about a technical matter in relation to the underground mine unless the person giving the </w:t>
      </w:r>
      <w:r w:rsidRPr="006F7E98">
        <w:rPr>
          <w:noProof/>
          <w:highlight w:val="yellow"/>
        </w:rPr>
        <w:drawing>
          <wp:inline distT="0" distB="0" distL="0" distR="0" wp14:anchorId="5E033B00" wp14:editId="3CFB5248">
            <wp:extent cx="9138" cy="9137"/>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8"/>
                    <a:stretch>
                      <a:fillRect/>
                    </a:stretch>
                  </pic:blipFill>
                  <pic:spPr>
                    <a:xfrm>
                      <a:off x="0" y="0"/>
                      <a:ext cx="9138" cy="9137"/>
                    </a:xfrm>
                    <a:prstGeom prst="rect">
                      <a:avLst/>
                    </a:prstGeom>
                  </pic:spPr>
                </pic:pic>
              </a:graphicData>
            </a:graphic>
          </wp:inline>
        </w:drawing>
      </w:r>
      <w:r w:rsidRPr="006F7E98">
        <w:rPr>
          <w:sz w:val="26"/>
          <w:highlight w:val="yellow"/>
        </w:rPr>
        <w:t>direction is the</w:t>
      </w:r>
    </w:p>
    <w:p w14:paraId="739663E0" w14:textId="77777777" w:rsidR="006E2693" w:rsidRPr="006F7E98" w:rsidRDefault="005F23CC">
      <w:pPr>
        <w:tabs>
          <w:tab w:val="center" w:pos="4620"/>
          <w:tab w:val="right" w:pos="9311"/>
        </w:tabs>
        <w:spacing w:after="3"/>
        <w:rPr>
          <w:highlight w:val="yellow"/>
        </w:rPr>
      </w:pPr>
      <w:r w:rsidRPr="006F7E98">
        <w:rPr>
          <w:rFonts w:ascii="Calibri" w:eastAsia="Calibri" w:hAnsi="Calibri" w:cs="Calibri"/>
          <w:sz w:val="18"/>
          <w:highlight w:val="yellow"/>
        </w:rPr>
        <w:t>05/09/2017</w:t>
      </w:r>
      <w:r w:rsidRPr="006F7E98">
        <w:rPr>
          <w:rFonts w:ascii="Calibri" w:eastAsia="Calibri" w:hAnsi="Calibri" w:cs="Calibri"/>
          <w:sz w:val="18"/>
          <w:highlight w:val="yellow"/>
        </w:rPr>
        <w:tab/>
      </w:r>
      <w:r w:rsidRPr="006F7E98">
        <w:rPr>
          <w:sz w:val="18"/>
          <w:highlight w:val="yellow"/>
        </w:rPr>
        <w:t>Mine Record Entry</w:t>
      </w:r>
      <w:r w:rsidRPr="006F7E98">
        <w:rPr>
          <w:sz w:val="18"/>
          <w:highlight w:val="yellow"/>
        </w:rPr>
        <w:tab/>
        <w:t>Page I of 2</w:t>
      </w:r>
    </w:p>
    <w:p w14:paraId="6B8289B3" w14:textId="251B76A3" w:rsidR="006E2693" w:rsidRDefault="005F23CC">
      <w:pPr>
        <w:spacing w:after="150" w:line="216" w:lineRule="auto"/>
        <w:ind w:left="21" w:right="179" w:firstLine="4"/>
        <w:jc w:val="both"/>
        <w:rPr>
          <w:sz w:val="26"/>
        </w:rPr>
      </w:pPr>
      <w:r w:rsidRPr="006F7E98">
        <w:rPr>
          <w:sz w:val="26"/>
          <w:highlight w:val="yellow"/>
        </w:rPr>
        <w:t xml:space="preserve">holder of a </w:t>
      </w:r>
      <w:proofErr w:type="gramStart"/>
      <w:r w:rsidRPr="006F7E98">
        <w:rPr>
          <w:sz w:val="26"/>
          <w:highlight w:val="yellow"/>
        </w:rPr>
        <w:t>first class</w:t>
      </w:r>
      <w:proofErr w:type="gramEnd"/>
      <w:r w:rsidRPr="006F7E98">
        <w:rPr>
          <w:sz w:val="26"/>
          <w:highlight w:val="yellow"/>
        </w:rPr>
        <w:t xml:space="preserve"> certificate of competency for an underground coal mine.</w:t>
      </w:r>
    </w:p>
    <w:p w14:paraId="36F8F7A5" w14:textId="77777777"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 xml:space="preserve">Issues to </w:t>
      </w:r>
      <w:proofErr w:type="gramStart"/>
      <w:r w:rsidRPr="006F7E98">
        <w:rPr>
          <w:b/>
          <w:bCs/>
          <w:color w:val="FF0000"/>
          <w:sz w:val="26"/>
        </w:rPr>
        <w:t>note</w:t>
      </w:r>
      <w:proofErr w:type="gramEnd"/>
    </w:p>
    <w:p w14:paraId="08413529" w14:textId="77777777"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1) Complaint raised by member of Site Management</w:t>
      </w:r>
    </w:p>
    <w:p w14:paraId="29A3208F" w14:textId="48A10C8F"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2) Investigated and found breach of Section 60 (6) of the Coal Mining Act</w:t>
      </w:r>
    </w:p>
    <w:p w14:paraId="0C39296E" w14:textId="77777777" w:rsidR="006F7E98" w:rsidRPr="006F7E98" w:rsidRDefault="006F7E98">
      <w:pPr>
        <w:spacing w:after="150" w:line="216" w:lineRule="auto"/>
        <w:ind w:left="21" w:right="179" w:firstLine="4"/>
        <w:jc w:val="both"/>
        <w:rPr>
          <w:b/>
          <w:bCs/>
          <w:color w:val="FF0000"/>
        </w:rPr>
      </w:pPr>
    </w:p>
    <w:p w14:paraId="09E985A7" w14:textId="53C51C6D" w:rsidR="006E2693" w:rsidRDefault="005F23CC">
      <w:pPr>
        <w:spacing w:after="38" w:line="216" w:lineRule="auto"/>
        <w:ind w:left="17" w:right="86" w:hanging="3"/>
        <w:jc w:val="both"/>
        <w:rPr>
          <w:sz w:val="24"/>
        </w:rPr>
      </w:pPr>
      <w:r w:rsidRPr="006F7E98">
        <w:rPr>
          <w:sz w:val="24"/>
          <w:highlight w:val="yellow"/>
        </w:rPr>
        <w:t>The investigation also revealed the use of a process in the Grosvenor mine Safety and Health Management System that authorised non- statutory personnel to issue technical directions to statutory personnel. The Inspectorate have determined that the use of this process is not in accordance with the intent of the Act and Regulations and should not be used. This has already been discussed with the current SSE for Grosvenor mine.</w:t>
      </w:r>
    </w:p>
    <w:p w14:paraId="4BE0536B" w14:textId="2D8862D5" w:rsidR="006F7E98" w:rsidRDefault="006F7E98">
      <w:pPr>
        <w:spacing w:after="38" w:line="216" w:lineRule="auto"/>
        <w:ind w:left="17" w:right="86" w:hanging="3"/>
        <w:jc w:val="both"/>
        <w:rPr>
          <w:b/>
          <w:bCs/>
          <w:color w:val="FF0000"/>
          <w:sz w:val="24"/>
        </w:rPr>
      </w:pPr>
      <w:r>
        <w:rPr>
          <w:b/>
          <w:bCs/>
          <w:color w:val="FF0000"/>
          <w:sz w:val="24"/>
        </w:rPr>
        <w:t>Another Offence against the Act.</w:t>
      </w:r>
    </w:p>
    <w:p w14:paraId="64444823" w14:textId="1022C342" w:rsidR="006F7E98" w:rsidRDefault="006F7E98">
      <w:pPr>
        <w:spacing w:after="38" w:line="216" w:lineRule="auto"/>
        <w:ind w:left="17" w:right="86" w:hanging="3"/>
        <w:jc w:val="both"/>
        <w:rPr>
          <w:b/>
          <w:bCs/>
          <w:color w:val="FF0000"/>
          <w:sz w:val="24"/>
        </w:rPr>
      </w:pPr>
      <w:r>
        <w:rPr>
          <w:b/>
          <w:bCs/>
          <w:color w:val="FF0000"/>
          <w:sz w:val="24"/>
        </w:rPr>
        <w:t xml:space="preserve">Discussed with the SSE. What does this </w:t>
      </w:r>
      <w:proofErr w:type="gramStart"/>
      <w:r>
        <w:rPr>
          <w:b/>
          <w:bCs/>
          <w:color w:val="FF0000"/>
          <w:sz w:val="24"/>
        </w:rPr>
        <w:t>mean</w:t>
      </w:r>
      <w:proofErr w:type="gramEnd"/>
    </w:p>
    <w:p w14:paraId="1C5E391D" w14:textId="77777777" w:rsidR="006F7E98" w:rsidRPr="006F7E98" w:rsidRDefault="006F7E98">
      <w:pPr>
        <w:spacing w:after="38" w:line="216" w:lineRule="auto"/>
        <w:ind w:left="17" w:right="86" w:hanging="3"/>
        <w:jc w:val="both"/>
        <w:rPr>
          <w:b/>
          <w:bCs/>
          <w:color w:val="FF0000"/>
          <w:sz w:val="24"/>
        </w:rPr>
      </w:pPr>
    </w:p>
    <w:p w14:paraId="5EB90140" w14:textId="77777777" w:rsidR="006E2693" w:rsidRPr="006F7E98" w:rsidRDefault="005F23CC">
      <w:pPr>
        <w:spacing w:after="0" w:line="216" w:lineRule="auto"/>
        <w:ind w:left="17" w:right="187" w:hanging="3"/>
        <w:jc w:val="both"/>
        <w:rPr>
          <w:highlight w:val="yellow"/>
        </w:rPr>
      </w:pPr>
      <w:r w:rsidRPr="006F7E98">
        <w:rPr>
          <w:sz w:val="24"/>
          <w:highlight w:val="yellow"/>
        </w:rPr>
        <w:t>Mr Britton questioned the reasoning for the use of this process and gave examples of how he believed it use was of appropriate for persons who hold technical qualifications that are at a higher AQF level than those required for an ERZ Controller. He cited the case for a</w:t>
      </w:r>
    </w:p>
    <w:p w14:paraId="7A71ED2E" w14:textId="175ADC8A" w:rsidR="006E2693" w:rsidRDefault="005F23CC">
      <w:pPr>
        <w:spacing w:after="101" w:line="217" w:lineRule="auto"/>
        <w:ind w:left="-5" w:right="129" w:hanging="3"/>
        <w:rPr>
          <w:sz w:val="24"/>
        </w:rPr>
      </w:pPr>
      <w:r w:rsidRPr="006F7E98">
        <w:rPr>
          <w:sz w:val="24"/>
          <w:highlight w:val="yellow"/>
        </w:rPr>
        <w:t xml:space="preserve">Geotechnical engineer and a Ventilation officer who conduct activities in an ERZ Controllers area of responsibility and may give directions upon the findings of their work within his district. This was discussed using several different contexts of how this may be interpreted for various roles who have been authorised to give an ERZ Controller technical direction. Although there are logical reasons as to why a person such as a Geotechnical engineer would inform the ERZ Controller to discharge his obligations under section 39 of the Act, the ERZ Controller must discharge his obligations under section 60(8) &amp; (9) of the Act. This process is flawed when persons who do not have a Deputy's certificate of competency are giving technical instructions relating to work activities in an Explosion Risk Zone to an ERZ </w:t>
      </w:r>
      <w:proofErr w:type="spellStart"/>
      <w:r w:rsidRPr="006F7E98">
        <w:rPr>
          <w:sz w:val="24"/>
          <w:highlight w:val="yellow"/>
        </w:rPr>
        <w:t>Controiler</w:t>
      </w:r>
      <w:proofErr w:type="spellEnd"/>
      <w:r w:rsidRPr="006F7E98">
        <w:rPr>
          <w:sz w:val="24"/>
          <w:highlight w:val="yellow"/>
        </w:rPr>
        <w:t xml:space="preserve"> who is in charge of that </w:t>
      </w:r>
      <w:proofErr w:type="gramStart"/>
      <w:r w:rsidRPr="006F7E98">
        <w:rPr>
          <w:sz w:val="24"/>
          <w:highlight w:val="yellow"/>
        </w:rPr>
        <w:t>zone;</w:t>
      </w:r>
      <w:proofErr w:type="gramEnd"/>
    </w:p>
    <w:p w14:paraId="13CB53FB" w14:textId="1B531E5D" w:rsidR="006F7E98" w:rsidRDefault="006F7E98">
      <w:pPr>
        <w:spacing w:after="101" w:line="217" w:lineRule="auto"/>
        <w:ind w:left="-5" w:right="129" w:hanging="3"/>
        <w:rPr>
          <w:b/>
          <w:bCs/>
          <w:color w:val="FF0000"/>
          <w:sz w:val="24"/>
        </w:rPr>
      </w:pPr>
      <w:r w:rsidRPr="006F7E98">
        <w:rPr>
          <w:b/>
          <w:bCs/>
          <w:color w:val="FF0000"/>
          <w:sz w:val="24"/>
        </w:rPr>
        <w:t>Logically it seems Glenn Britton is the creator</w:t>
      </w:r>
      <w:r>
        <w:rPr>
          <w:b/>
          <w:bCs/>
          <w:color w:val="FF0000"/>
          <w:sz w:val="24"/>
        </w:rPr>
        <w:t xml:space="preserve"> of these provisions of the Mines SHMS.</w:t>
      </w:r>
    </w:p>
    <w:p w14:paraId="5EC09B2B" w14:textId="525DDA62" w:rsidR="006F7E98" w:rsidRDefault="006F7E98">
      <w:pPr>
        <w:spacing w:after="101" w:line="217" w:lineRule="auto"/>
        <w:ind w:left="-5" w:right="129" w:hanging="3"/>
        <w:rPr>
          <w:b/>
          <w:bCs/>
          <w:color w:val="FF0000"/>
          <w:sz w:val="24"/>
        </w:rPr>
      </w:pPr>
      <w:r>
        <w:rPr>
          <w:b/>
          <w:bCs/>
          <w:color w:val="FF0000"/>
          <w:sz w:val="24"/>
        </w:rPr>
        <w:t>Mr Britton is trying an illegal practice to authorise giving Technical Direction through trying to allow this Under the Mines SHMS.</w:t>
      </w:r>
    </w:p>
    <w:p w14:paraId="758FB871" w14:textId="543A4A0E" w:rsidR="006F7E98" w:rsidRDefault="006F7E98">
      <w:pPr>
        <w:spacing w:after="101" w:line="217" w:lineRule="auto"/>
        <w:ind w:left="-5" w:right="129" w:hanging="3"/>
        <w:rPr>
          <w:b/>
          <w:bCs/>
          <w:color w:val="FF0000"/>
          <w:sz w:val="24"/>
        </w:rPr>
      </w:pPr>
      <w:r>
        <w:rPr>
          <w:b/>
          <w:bCs/>
          <w:color w:val="FF0000"/>
          <w:sz w:val="24"/>
        </w:rPr>
        <w:t>Illegal as nothing in a Mines SHMS can contradict the Act and Regulations.</w:t>
      </w:r>
    </w:p>
    <w:p w14:paraId="5B37E76E" w14:textId="1179E49C" w:rsidR="006F7E98" w:rsidRDefault="006F7E98">
      <w:pPr>
        <w:spacing w:after="101" w:line="217" w:lineRule="auto"/>
        <w:ind w:left="-5" w:right="129" w:hanging="3"/>
        <w:rPr>
          <w:b/>
          <w:bCs/>
          <w:color w:val="FF0000"/>
          <w:sz w:val="24"/>
        </w:rPr>
      </w:pPr>
      <w:r>
        <w:rPr>
          <w:b/>
          <w:bCs/>
          <w:color w:val="FF0000"/>
          <w:sz w:val="24"/>
        </w:rPr>
        <w:t>Does this process exist at other Anglo Operations?</w:t>
      </w:r>
    </w:p>
    <w:p w14:paraId="0C43E3A8" w14:textId="1E68C351" w:rsidR="006F7E98" w:rsidRDefault="006F7E98">
      <w:pPr>
        <w:spacing w:after="101" w:line="217" w:lineRule="auto"/>
        <w:ind w:left="-5" w:right="129" w:hanging="3"/>
        <w:rPr>
          <w:b/>
          <w:bCs/>
          <w:color w:val="FF0000"/>
          <w:sz w:val="24"/>
        </w:rPr>
      </w:pPr>
      <w:r>
        <w:rPr>
          <w:b/>
          <w:bCs/>
          <w:color w:val="FF0000"/>
          <w:sz w:val="24"/>
        </w:rPr>
        <w:lastRenderedPageBreak/>
        <w:t xml:space="preserve">No indication in the MRE whether the DNRME were looking at other Anglo Mines </w:t>
      </w:r>
      <w:r w:rsidR="000F3D4A">
        <w:rPr>
          <w:b/>
          <w:bCs/>
          <w:color w:val="FF0000"/>
          <w:sz w:val="24"/>
        </w:rPr>
        <w:t xml:space="preserve">under Mr Britton’s </w:t>
      </w:r>
      <w:r>
        <w:rPr>
          <w:b/>
          <w:bCs/>
          <w:color w:val="FF0000"/>
          <w:sz w:val="24"/>
        </w:rPr>
        <w:t xml:space="preserve">to see if the same illegal </w:t>
      </w:r>
      <w:r w:rsidR="00EC2233">
        <w:rPr>
          <w:b/>
          <w:bCs/>
          <w:color w:val="FF0000"/>
          <w:sz w:val="24"/>
        </w:rPr>
        <w:t>provision exists in their SHMS and if so</w:t>
      </w:r>
      <w:r w:rsidR="000F3D4A">
        <w:rPr>
          <w:b/>
          <w:bCs/>
          <w:color w:val="FF0000"/>
          <w:sz w:val="24"/>
        </w:rPr>
        <w:t>,</w:t>
      </w:r>
      <w:r w:rsidR="00EC2233">
        <w:rPr>
          <w:b/>
          <w:bCs/>
          <w:color w:val="FF0000"/>
          <w:sz w:val="24"/>
        </w:rPr>
        <w:t xml:space="preserve"> have it removed.</w:t>
      </w:r>
    </w:p>
    <w:p w14:paraId="48072A2C" w14:textId="4B777B83" w:rsidR="00EC2233" w:rsidRDefault="00EC2233">
      <w:pPr>
        <w:spacing w:after="101" w:line="217" w:lineRule="auto"/>
        <w:ind w:left="-5" w:right="129" w:hanging="3"/>
        <w:rPr>
          <w:b/>
          <w:bCs/>
          <w:color w:val="FF0000"/>
          <w:sz w:val="24"/>
        </w:rPr>
      </w:pPr>
    </w:p>
    <w:p w14:paraId="39F77D5E" w14:textId="77777777" w:rsidR="000F3D4A" w:rsidRPr="006F7E98" w:rsidRDefault="000F3D4A">
      <w:pPr>
        <w:spacing w:after="101" w:line="217" w:lineRule="auto"/>
        <w:ind w:left="-5" w:right="129" w:hanging="3"/>
        <w:rPr>
          <w:b/>
          <w:bCs/>
          <w:color w:val="FF0000"/>
          <w:sz w:val="24"/>
        </w:rPr>
      </w:pPr>
    </w:p>
    <w:p w14:paraId="6316FD79" w14:textId="0406F00A" w:rsidR="006F7E98" w:rsidRPr="006F7E98" w:rsidRDefault="006F7E98">
      <w:pPr>
        <w:spacing w:after="101" w:line="217" w:lineRule="auto"/>
        <w:ind w:left="-5" w:right="129" w:hanging="3"/>
        <w:rPr>
          <w:b/>
          <w:bCs/>
          <w:color w:val="FF0000"/>
          <w:sz w:val="24"/>
        </w:rPr>
      </w:pPr>
    </w:p>
    <w:p w14:paraId="19336463" w14:textId="77777777" w:rsidR="006F7E98" w:rsidRPr="006F7E98" w:rsidRDefault="006F7E98">
      <w:pPr>
        <w:spacing w:after="101" w:line="217" w:lineRule="auto"/>
        <w:ind w:left="-5" w:right="129" w:hanging="3"/>
        <w:rPr>
          <w:b/>
          <w:bCs/>
          <w:color w:val="FF0000"/>
        </w:rPr>
      </w:pPr>
    </w:p>
    <w:p w14:paraId="7FA5045B" w14:textId="77777777" w:rsidR="006E2693" w:rsidRDefault="005F23CC">
      <w:pPr>
        <w:spacing w:after="364" w:line="216" w:lineRule="auto"/>
        <w:ind w:left="22" w:right="108" w:firstLine="14"/>
      </w:pPr>
      <w:r>
        <w:rPr>
          <w:sz w:val="24"/>
        </w:rPr>
        <w:t>60 Additional requirements for management of underground mines (1) This section applies to an underground mine.</w:t>
      </w:r>
    </w:p>
    <w:p w14:paraId="78A500A1" w14:textId="77777777" w:rsidR="006E2693" w:rsidRDefault="005F23CC">
      <w:pPr>
        <w:numPr>
          <w:ilvl w:val="0"/>
          <w:numId w:val="1"/>
        </w:numPr>
        <w:spacing w:after="274" w:line="216" w:lineRule="auto"/>
        <w:ind w:right="291" w:firstLine="4"/>
        <w:jc w:val="both"/>
      </w:pPr>
      <w:r>
        <w:rPr>
          <w:sz w:val="26"/>
        </w:rPr>
        <w:t xml:space="preserve">The underground mine manager must appoint a person holding a </w:t>
      </w:r>
      <w:proofErr w:type="gramStart"/>
      <w:r>
        <w:rPr>
          <w:sz w:val="26"/>
        </w:rPr>
        <w:t>first or second class</w:t>
      </w:r>
      <w:proofErr w:type="gramEnd"/>
      <w:r>
        <w:rPr>
          <w:sz w:val="26"/>
        </w:rPr>
        <w:t xml:space="preserve"> certificate of competency or a deputy's certificate of competency to be responsible for the control and management of underground activities when the manager is not in attendance at the mine.</w:t>
      </w:r>
    </w:p>
    <w:p w14:paraId="6D161E24" w14:textId="77777777" w:rsidR="006E2693" w:rsidRDefault="005F23CC">
      <w:pPr>
        <w:numPr>
          <w:ilvl w:val="0"/>
          <w:numId w:val="1"/>
        </w:numPr>
        <w:spacing w:after="333" w:line="216" w:lineRule="auto"/>
        <w:ind w:right="291" w:firstLine="4"/>
        <w:jc w:val="both"/>
      </w:pPr>
      <w:r>
        <w:rPr>
          <w:sz w:val="26"/>
        </w:rPr>
        <w:t xml:space="preserve">The underground mine manager must appoint a person holding a </w:t>
      </w:r>
      <w:proofErr w:type="gramStart"/>
      <w:r>
        <w:rPr>
          <w:sz w:val="26"/>
        </w:rPr>
        <w:t>first or second class</w:t>
      </w:r>
      <w:proofErr w:type="gramEnd"/>
      <w:r>
        <w:rPr>
          <w:sz w:val="26"/>
        </w:rPr>
        <w:t xml:space="preserve"> certificate of competency or a deputy's certificate of competency to have control of activities in 1 or more explosion risk zones.</w:t>
      </w:r>
    </w:p>
    <w:p w14:paraId="048F3C73" w14:textId="27CFFCF7" w:rsidR="006E2693" w:rsidRDefault="005F23CC">
      <w:pPr>
        <w:spacing w:after="86" w:line="217" w:lineRule="auto"/>
        <w:ind w:left="-5" w:right="129" w:hanging="3"/>
        <w:rPr>
          <w:sz w:val="24"/>
        </w:rPr>
      </w:pPr>
      <w:r>
        <w:rPr>
          <w:sz w:val="24"/>
        </w:rPr>
        <w:t xml:space="preserve">The discussion also included the differentiation of technical direction in relation to operational and safety matters. The difference in these matters is not clearly definable as these are intimately connected. </w:t>
      </w:r>
      <w:proofErr w:type="gramStart"/>
      <w:r>
        <w:rPr>
          <w:sz w:val="24"/>
        </w:rPr>
        <w:t>However</w:t>
      </w:r>
      <w:proofErr w:type="gramEnd"/>
      <w:r>
        <w:rPr>
          <w:sz w:val="24"/>
        </w:rPr>
        <w:t xml:space="preserve"> all activities are required to be conducted at a level of risk that is as low as reasonably achievable and within acceptable limits. </w:t>
      </w:r>
      <w:proofErr w:type="gramStart"/>
      <w:r>
        <w:rPr>
          <w:sz w:val="24"/>
        </w:rPr>
        <w:t>Therefore</w:t>
      </w:r>
      <w:proofErr w:type="gramEnd"/>
      <w:r>
        <w:rPr>
          <w:sz w:val="24"/>
        </w:rPr>
        <w:t xml:space="preserve"> all operational matters invoke some facet of safety and health and cannot be clearly defined as to which matters may be separated to allow a person who does not holds a statutory certificate of competency to give directions to a person holding a statutory certificate of competency in charge of an Explosion Risk Zone.</w:t>
      </w:r>
    </w:p>
    <w:p w14:paraId="2E70E4C2" w14:textId="4D7CF669" w:rsidR="006F7E98" w:rsidRDefault="006F7E98" w:rsidP="006F7E98">
      <w:pPr>
        <w:spacing w:after="86" w:line="217" w:lineRule="auto"/>
        <w:ind w:left="-5" w:right="129" w:hanging="3"/>
        <w:rPr>
          <w:b/>
          <w:bCs/>
          <w:color w:val="FF0000"/>
          <w:sz w:val="24"/>
        </w:rPr>
      </w:pPr>
      <w:r w:rsidRPr="006F7E98">
        <w:rPr>
          <w:b/>
          <w:bCs/>
          <w:color w:val="FF0000"/>
          <w:sz w:val="24"/>
        </w:rPr>
        <w:t>3) The disputing of the findings by Mr Glenn Britton, (Anglo Head of Underground Operations</w:t>
      </w:r>
      <w:r>
        <w:rPr>
          <w:b/>
          <w:bCs/>
          <w:color w:val="FF0000"/>
          <w:sz w:val="24"/>
        </w:rPr>
        <w:t>).</w:t>
      </w:r>
    </w:p>
    <w:p w14:paraId="712850FE" w14:textId="3C04BBF8" w:rsidR="006F7E98" w:rsidRPr="006F7E98" w:rsidRDefault="006F7E98" w:rsidP="006F7E98">
      <w:pPr>
        <w:spacing w:after="86" w:line="217" w:lineRule="auto"/>
        <w:ind w:left="-5" w:right="129" w:hanging="3"/>
        <w:rPr>
          <w:b/>
          <w:bCs/>
          <w:color w:val="FF0000"/>
          <w:sz w:val="24"/>
        </w:rPr>
      </w:pPr>
      <w:r w:rsidRPr="006F7E98">
        <w:rPr>
          <w:b/>
          <w:bCs/>
          <w:color w:val="FF0000"/>
          <w:sz w:val="24"/>
        </w:rPr>
        <w:t>This is one of the Mine Record Entries that falls outside the Ministerial Inquiry time frames for Grosvenor Mine</w:t>
      </w:r>
    </w:p>
    <w:p w14:paraId="58368E85" w14:textId="400658B0" w:rsidR="006F7E98" w:rsidRDefault="006F7E98">
      <w:pPr>
        <w:spacing w:after="86" w:line="217" w:lineRule="auto"/>
        <w:ind w:left="-5" w:right="129" w:hanging="3"/>
        <w:rPr>
          <w:sz w:val="24"/>
        </w:rPr>
      </w:pPr>
    </w:p>
    <w:p w14:paraId="4E851FA5" w14:textId="77777777" w:rsidR="006F7E98" w:rsidRDefault="006F7E98">
      <w:pPr>
        <w:spacing w:after="86" w:line="217" w:lineRule="auto"/>
        <w:ind w:left="-5" w:right="129" w:hanging="3"/>
      </w:pPr>
    </w:p>
    <w:p w14:paraId="060EB483" w14:textId="722CD638" w:rsidR="006E2693" w:rsidRDefault="005F23CC">
      <w:pPr>
        <w:spacing w:after="297" w:line="217" w:lineRule="auto"/>
        <w:ind w:left="-5" w:right="129" w:hanging="3"/>
        <w:rPr>
          <w:sz w:val="24"/>
        </w:rPr>
      </w:pPr>
      <w:r w:rsidRPr="006F7E98">
        <w:rPr>
          <w:sz w:val="24"/>
          <w:highlight w:val="yellow"/>
        </w:rPr>
        <w:t>Mr Britton requested that the requirement for persons who do not hold a statutory certificate of competency not giving directions to a person holding a statutory certificate of competency in charge of an Explosion Risk Zone be communicated to industry.</w:t>
      </w:r>
    </w:p>
    <w:p w14:paraId="3D23106A" w14:textId="77777777" w:rsidR="006F7E98" w:rsidRDefault="006F7E98">
      <w:pPr>
        <w:spacing w:after="297" w:line="217" w:lineRule="auto"/>
        <w:ind w:left="-5" w:right="129" w:hanging="3"/>
      </w:pPr>
    </w:p>
    <w:tbl>
      <w:tblPr>
        <w:tblStyle w:val="TableGrid"/>
        <w:tblW w:w="9031" w:type="dxa"/>
        <w:tblInd w:w="14" w:type="dxa"/>
        <w:tblCellMar>
          <w:bottom w:w="14" w:type="dxa"/>
        </w:tblCellMar>
        <w:tblLook w:val="04A0" w:firstRow="1" w:lastRow="0" w:firstColumn="1" w:lastColumn="0" w:noHBand="0" w:noVBand="1"/>
      </w:tblPr>
      <w:tblGrid>
        <w:gridCol w:w="3109"/>
        <w:gridCol w:w="5123"/>
        <w:gridCol w:w="799"/>
      </w:tblGrid>
      <w:tr w:rsidR="006E2693" w14:paraId="4BC97E6D" w14:textId="77777777">
        <w:trPr>
          <w:trHeight w:val="232"/>
        </w:trPr>
        <w:tc>
          <w:tcPr>
            <w:tcW w:w="3109" w:type="dxa"/>
            <w:tcBorders>
              <w:top w:val="nil"/>
              <w:left w:val="nil"/>
              <w:bottom w:val="nil"/>
              <w:right w:val="nil"/>
            </w:tcBorders>
          </w:tcPr>
          <w:p w14:paraId="7D2FC9EC" w14:textId="77777777" w:rsidR="006E2693" w:rsidRDefault="005F23CC">
            <w:r>
              <w:rPr>
                <w:sz w:val="26"/>
              </w:rPr>
              <w:t>Andrew Smith</w:t>
            </w:r>
          </w:p>
        </w:tc>
        <w:tc>
          <w:tcPr>
            <w:tcW w:w="5123" w:type="dxa"/>
            <w:tcBorders>
              <w:top w:val="nil"/>
              <w:left w:val="nil"/>
              <w:bottom w:val="nil"/>
              <w:right w:val="nil"/>
            </w:tcBorders>
          </w:tcPr>
          <w:p w14:paraId="2D6255C0" w14:textId="77777777" w:rsidR="006E2693" w:rsidRDefault="005F23CC">
            <w:r>
              <w:rPr>
                <w:sz w:val="28"/>
              </w:rPr>
              <w:t>Shaun Dobson</w:t>
            </w:r>
          </w:p>
        </w:tc>
        <w:tc>
          <w:tcPr>
            <w:tcW w:w="799" w:type="dxa"/>
            <w:tcBorders>
              <w:top w:val="nil"/>
              <w:left w:val="nil"/>
              <w:bottom w:val="nil"/>
              <w:right w:val="nil"/>
            </w:tcBorders>
          </w:tcPr>
          <w:p w14:paraId="308079B2" w14:textId="77777777" w:rsidR="006E2693" w:rsidRDefault="006E2693"/>
        </w:tc>
      </w:tr>
      <w:tr w:rsidR="006E2693" w14:paraId="5BA3D967" w14:textId="77777777">
        <w:trPr>
          <w:trHeight w:val="862"/>
        </w:trPr>
        <w:tc>
          <w:tcPr>
            <w:tcW w:w="3109" w:type="dxa"/>
            <w:tcBorders>
              <w:top w:val="nil"/>
              <w:left w:val="nil"/>
              <w:bottom w:val="nil"/>
              <w:right w:val="nil"/>
            </w:tcBorders>
          </w:tcPr>
          <w:p w14:paraId="0C03F07F" w14:textId="77777777" w:rsidR="006E2693" w:rsidRDefault="005F23CC">
            <w:pPr>
              <w:ind w:left="14"/>
            </w:pPr>
            <w:r>
              <w:rPr>
                <w:sz w:val="24"/>
              </w:rPr>
              <w:t>Lead Investigator</w:t>
            </w:r>
          </w:p>
        </w:tc>
        <w:tc>
          <w:tcPr>
            <w:tcW w:w="5123" w:type="dxa"/>
            <w:tcBorders>
              <w:top w:val="nil"/>
              <w:left w:val="nil"/>
              <w:bottom w:val="nil"/>
              <w:right w:val="nil"/>
            </w:tcBorders>
          </w:tcPr>
          <w:p w14:paraId="0E2DE3E6" w14:textId="77777777" w:rsidR="006E2693" w:rsidRDefault="005F23CC">
            <w:pPr>
              <w:ind w:right="2087" w:firstLine="7"/>
              <w:jc w:val="both"/>
            </w:pPr>
            <w:r>
              <w:rPr>
                <w:sz w:val="24"/>
              </w:rPr>
              <w:t>Inspector of Mines (Coal) Central Region</w:t>
            </w:r>
          </w:p>
        </w:tc>
        <w:tc>
          <w:tcPr>
            <w:tcW w:w="799" w:type="dxa"/>
            <w:tcBorders>
              <w:top w:val="nil"/>
              <w:left w:val="nil"/>
              <w:bottom w:val="nil"/>
              <w:right w:val="nil"/>
            </w:tcBorders>
          </w:tcPr>
          <w:p w14:paraId="118CA508" w14:textId="77777777" w:rsidR="006E2693" w:rsidRDefault="006E2693"/>
        </w:tc>
      </w:tr>
      <w:tr w:rsidR="006E2693" w14:paraId="5CF64ABE" w14:textId="77777777">
        <w:trPr>
          <w:trHeight w:val="597"/>
        </w:trPr>
        <w:tc>
          <w:tcPr>
            <w:tcW w:w="3109" w:type="dxa"/>
            <w:tcBorders>
              <w:top w:val="nil"/>
              <w:left w:val="nil"/>
              <w:bottom w:val="nil"/>
              <w:right w:val="nil"/>
            </w:tcBorders>
            <w:vAlign w:val="bottom"/>
          </w:tcPr>
          <w:p w14:paraId="37D838C8" w14:textId="77777777" w:rsidR="006E2693" w:rsidRDefault="005F23CC">
            <w:r>
              <w:rPr>
                <w:rFonts w:ascii="Times New Roman" w:eastAsia="Times New Roman" w:hAnsi="Times New Roman" w:cs="Times New Roman"/>
                <w:sz w:val="18"/>
              </w:rPr>
              <w:t>05/09/2017</w:t>
            </w:r>
          </w:p>
        </w:tc>
        <w:tc>
          <w:tcPr>
            <w:tcW w:w="5123" w:type="dxa"/>
            <w:tcBorders>
              <w:top w:val="nil"/>
              <w:left w:val="nil"/>
              <w:bottom w:val="nil"/>
              <w:right w:val="nil"/>
            </w:tcBorders>
            <w:vAlign w:val="bottom"/>
          </w:tcPr>
          <w:p w14:paraId="7D072DDD" w14:textId="77777777" w:rsidR="006E2693" w:rsidRDefault="005F23CC">
            <w:pPr>
              <w:ind w:left="756"/>
            </w:pPr>
            <w:r>
              <w:rPr>
                <w:sz w:val="18"/>
              </w:rPr>
              <w:t>Mine Record Entry</w:t>
            </w:r>
          </w:p>
        </w:tc>
        <w:tc>
          <w:tcPr>
            <w:tcW w:w="799" w:type="dxa"/>
            <w:tcBorders>
              <w:top w:val="nil"/>
              <w:left w:val="nil"/>
              <w:bottom w:val="nil"/>
              <w:right w:val="nil"/>
            </w:tcBorders>
            <w:vAlign w:val="bottom"/>
          </w:tcPr>
          <w:p w14:paraId="177775FE" w14:textId="77777777" w:rsidR="006E2693" w:rsidRDefault="005F23CC">
            <w:pPr>
              <w:jc w:val="both"/>
            </w:pPr>
            <w:r>
              <w:rPr>
                <w:sz w:val="20"/>
              </w:rPr>
              <w:t>Page 2 of 2</w:t>
            </w:r>
          </w:p>
        </w:tc>
      </w:tr>
    </w:tbl>
    <w:p w14:paraId="6F9E4113" w14:textId="77777777" w:rsidR="005F23CC" w:rsidRDefault="005F23CC"/>
    <w:sectPr w:rsidR="005F23CC">
      <w:pgSz w:w="11909" w:h="16841"/>
      <w:pgMar w:top="1740" w:right="1252" w:bottom="439"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7417"/>
    <w:multiLevelType w:val="hybridMultilevel"/>
    <w:tmpl w:val="AB521810"/>
    <w:lvl w:ilvl="0" w:tplc="6AE20246">
      <w:start w:val="8"/>
      <w:numFmt w:val="decimal"/>
      <w:lvlText w:val="(%1)"/>
      <w:lvlJc w:val="left"/>
      <w:pPr>
        <w:ind w:left="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112B43C">
      <w:start w:val="1"/>
      <w:numFmt w:val="lowerLetter"/>
      <w:lvlText w:val="%2"/>
      <w:lvlJc w:val="left"/>
      <w:pPr>
        <w:ind w:left="1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41CEB40">
      <w:start w:val="1"/>
      <w:numFmt w:val="lowerRoman"/>
      <w:lvlText w:val="%3"/>
      <w:lvlJc w:val="left"/>
      <w:pPr>
        <w:ind w:left="1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A326670">
      <w:start w:val="1"/>
      <w:numFmt w:val="decimal"/>
      <w:lvlText w:val="%4"/>
      <w:lvlJc w:val="left"/>
      <w:pPr>
        <w:ind w:left="2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75A6F06">
      <w:start w:val="1"/>
      <w:numFmt w:val="lowerLetter"/>
      <w:lvlText w:val="%5"/>
      <w:lvlJc w:val="left"/>
      <w:pPr>
        <w:ind w:left="3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2FA8C56">
      <w:start w:val="1"/>
      <w:numFmt w:val="lowerRoman"/>
      <w:lvlText w:val="%6"/>
      <w:lvlJc w:val="left"/>
      <w:pPr>
        <w:ind w:left="39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4CE479E">
      <w:start w:val="1"/>
      <w:numFmt w:val="decimal"/>
      <w:lvlText w:val="%7"/>
      <w:lvlJc w:val="left"/>
      <w:pPr>
        <w:ind w:left="46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4E4F65C">
      <w:start w:val="1"/>
      <w:numFmt w:val="lowerLetter"/>
      <w:lvlText w:val="%8"/>
      <w:lvlJc w:val="left"/>
      <w:pPr>
        <w:ind w:left="54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802D138">
      <w:start w:val="1"/>
      <w:numFmt w:val="lowerRoman"/>
      <w:lvlText w:val="%9"/>
      <w:lvlJc w:val="left"/>
      <w:pPr>
        <w:ind w:left="6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93"/>
    <w:rsid w:val="000F3D4A"/>
    <w:rsid w:val="005F23CC"/>
    <w:rsid w:val="006E10FA"/>
    <w:rsid w:val="006E2693"/>
    <w:rsid w:val="006F7E98"/>
    <w:rsid w:val="00D27CD7"/>
    <w:rsid w:val="00EC2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96E9"/>
  <w15:docId w15:val="{F960FD65-CAE0-4A7B-8170-12CE191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0"/>
      <w:ind w:left="245"/>
      <w:jc w:val="center"/>
      <w:outlineLvl w:val="0"/>
    </w:pPr>
    <w:rPr>
      <w:rFonts w:ascii="Courier New" w:eastAsia="Courier New" w:hAnsi="Courier New" w:cs="Courier New"/>
      <w:color w:val="000000"/>
      <w:sz w:val="60"/>
    </w:rPr>
  </w:style>
  <w:style w:type="paragraph" w:styleId="Heading2">
    <w:name w:val="heading 2"/>
    <w:next w:val="Normal"/>
    <w:link w:val="Heading2Char"/>
    <w:uiPriority w:val="9"/>
    <w:unhideWhenUsed/>
    <w:qFormat/>
    <w:pPr>
      <w:keepNext/>
      <w:keepLines/>
      <w:spacing w:after="0"/>
      <w:ind w:left="108"/>
      <w:outlineLvl w:val="1"/>
    </w:pPr>
    <w:rPr>
      <w:rFonts w:ascii="Courier New" w:eastAsia="Courier New" w:hAnsi="Courier New" w:cs="Courier New"/>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6"/>
      <w:u w:val="single" w:color="000000"/>
    </w:rPr>
  </w:style>
  <w:style w:type="character" w:customStyle="1" w:styleId="Heading1Char">
    <w:name w:val="Heading 1 Char"/>
    <w:link w:val="Heading1"/>
    <w:rPr>
      <w:rFonts w:ascii="Courier New" w:eastAsia="Courier New" w:hAnsi="Courier New" w:cs="Courier New"/>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2021-05-03T03:13:00Z</dcterms:created>
  <dcterms:modified xsi:type="dcterms:W3CDTF">2021-05-03T03:13:00Z</dcterms:modified>
</cp:coreProperties>
</file>