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6490" w14:textId="77777777" w:rsidR="00821153" w:rsidRDefault="008910CC">
      <w:pPr>
        <w:spacing w:after="1478" w:line="265" w:lineRule="auto"/>
        <w:ind w:right="-15"/>
        <w:jc w:val="right"/>
      </w:pPr>
      <w:r>
        <w:rPr>
          <w:i w:val="0"/>
          <w:sz w:val="20"/>
        </w:rPr>
        <w:t>AAMC.001.005.0505</w:t>
      </w:r>
    </w:p>
    <w:p w14:paraId="4559DE06" w14:textId="77777777" w:rsidR="00821153" w:rsidRDefault="008910CC">
      <w:pPr>
        <w:spacing w:after="326" w:line="259" w:lineRule="auto"/>
        <w:ind w:left="0" w:firstLine="0"/>
      </w:pPr>
      <w:r>
        <w:t xml:space="preserve"> </w:t>
      </w:r>
    </w:p>
    <w:p w14:paraId="23A773CF" w14:textId="77777777" w:rsidR="00821153" w:rsidRDefault="008910CC">
      <w:pPr>
        <w:spacing w:after="11" w:line="259" w:lineRule="auto"/>
        <w:ind w:left="1436"/>
      </w:pPr>
      <w:r>
        <w:rPr>
          <w:b/>
          <w:sz w:val="56"/>
        </w:rPr>
        <w:t xml:space="preserve">Statutory Compliance Audit/Review of the Safety and Health Management System </w:t>
      </w:r>
    </w:p>
    <w:p w14:paraId="6A1287B1" w14:textId="77777777" w:rsidR="00821153" w:rsidRDefault="008910CC">
      <w:pPr>
        <w:spacing w:after="8" w:line="259" w:lineRule="auto"/>
        <w:ind w:left="4320" w:firstLine="0"/>
      </w:pPr>
      <w:r>
        <w:rPr>
          <w:b/>
          <w:sz w:val="56"/>
        </w:rPr>
        <w:t xml:space="preserve"> </w:t>
      </w:r>
    </w:p>
    <w:p w14:paraId="63EC73AE" w14:textId="77777777" w:rsidR="00821153" w:rsidRDefault="008910CC">
      <w:pPr>
        <w:spacing w:after="11" w:line="259" w:lineRule="auto"/>
        <w:ind w:left="2307"/>
      </w:pPr>
      <w:r>
        <w:rPr>
          <w:b/>
          <w:sz w:val="56"/>
        </w:rPr>
        <w:t xml:space="preserve">Grasstree Mine </w:t>
      </w:r>
    </w:p>
    <w:p w14:paraId="011EC703" w14:textId="77777777" w:rsidR="00821153" w:rsidRDefault="008910CC">
      <w:pPr>
        <w:spacing w:after="8" w:line="259" w:lineRule="auto"/>
        <w:ind w:left="4320" w:firstLine="0"/>
      </w:pPr>
      <w:r>
        <w:rPr>
          <w:b/>
          <w:sz w:val="56"/>
        </w:rPr>
        <w:t xml:space="preserve"> </w:t>
      </w:r>
    </w:p>
    <w:p w14:paraId="14C567AE" w14:textId="77777777" w:rsidR="00821153" w:rsidRPr="00C7321D" w:rsidRDefault="008910CC">
      <w:pPr>
        <w:spacing w:after="11" w:line="259" w:lineRule="auto"/>
        <w:ind w:left="2260"/>
        <w:rPr>
          <w:color w:val="FF0000"/>
        </w:rPr>
      </w:pPr>
      <w:r w:rsidRPr="00C7321D">
        <w:rPr>
          <w:b/>
          <w:color w:val="FF0000"/>
          <w:sz w:val="56"/>
        </w:rPr>
        <w:t xml:space="preserve">November 2019 </w:t>
      </w:r>
    </w:p>
    <w:p w14:paraId="74272A6B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D9336A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3A49CEE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D251E64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40BCA8E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3667676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CDB74A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A16A772" w14:textId="77777777" w:rsidR="00821153" w:rsidRDefault="008910CC">
      <w:pPr>
        <w:spacing w:after="200" w:line="259" w:lineRule="auto"/>
        <w:ind w:left="0" w:firstLine="0"/>
      </w:pPr>
      <w:r>
        <w:t xml:space="preserve"> </w:t>
      </w:r>
    </w:p>
    <w:p w14:paraId="6222A185" w14:textId="77777777" w:rsidR="00821153" w:rsidRDefault="008910CC">
      <w:pPr>
        <w:tabs>
          <w:tab w:val="center" w:pos="2880"/>
          <w:tab w:val="center" w:pos="5111"/>
        </w:tabs>
        <w:spacing w:line="259" w:lineRule="auto"/>
        <w:ind w:left="-15" w:firstLine="0"/>
      </w:pPr>
      <w:r>
        <w:rPr>
          <w:b/>
          <w:sz w:val="40"/>
        </w:rPr>
        <w:t xml:space="preserve">Audit </w:t>
      </w:r>
      <w:r>
        <w:rPr>
          <w:b/>
          <w:sz w:val="36"/>
        </w:rPr>
        <w:t xml:space="preserve">Client: </w: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  <w:t xml:space="preserve">Sarah Makepeace </w:t>
      </w:r>
    </w:p>
    <w:p w14:paraId="659B54BD" w14:textId="77777777" w:rsidR="00821153" w:rsidRDefault="008910CC">
      <w:pPr>
        <w:spacing w:after="9" w:line="259" w:lineRule="auto"/>
        <w:ind w:left="0" w:firstLine="0"/>
      </w:pPr>
      <w:r>
        <w:rPr>
          <w:b/>
          <w:sz w:val="36"/>
        </w:rPr>
        <w:t xml:space="preserve"> </w:t>
      </w:r>
    </w:p>
    <w:p w14:paraId="130EC64E" w14:textId="77777777" w:rsidR="00821153" w:rsidRDefault="008910CC">
      <w:pPr>
        <w:spacing w:after="9" w:line="259" w:lineRule="auto"/>
        <w:ind w:left="0" w:firstLine="0"/>
      </w:pPr>
      <w:r>
        <w:rPr>
          <w:b/>
          <w:sz w:val="36"/>
        </w:rPr>
        <w:t xml:space="preserve"> </w:t>
      </w:r>
    </w:p>
    <w:p w14:paraId="38DA6A8A" w14:textId="77777777" w:rsidR="00821153" w:rsidRDefault="008910CC">
      <w:pPr>
        <w:spacing w:after="9" w:line="259" w:lineRule="auto"/>
        <w:ind w:left="0" w:firstLine="0"/>
      </w:pPr>
      <w:r>
        <w:rPr>
          <w:b/>
          <w:sz w:val="36"/>
        </w:rPr>
        <w:t xml:space="preserve"> </w:t>
      </w:r>
    </w:p>
    <w:p w14:paraId="2E35FF8F" w14:textId="77777777" w:rsidR="00821153" w:rsidRDefault="008910CC">
      <w:pPr>
        <w:tabs>
          <w:tab w:val="center" w:pos="2160"/>
          <w:tab w:val="center" w:pos="3750"/>
        </w:tabs>
        <w:spacing w:line="259" w:lineRule="auto"/>
        <w:ind w:left="-15" w:firstLine="0"/>
      </w:pPr>
      <w:r>
        <w:rPr>
          <w:b/>
          <w:sz w:val="36"/>
        </w:rPr>
        <w:t xml:space="preserve">Auditor:  </w: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  <w:t xml:space="preserve">Phil Reed,  </w:t>
      </w:r>
    </w:p>
    <w:p w14:paraId="6899D91A" w14:textId="77777777" w:rsidR="00821153" w:rsidRDefault="008910CC">
      <w:pPr>
        <w:spacing w:line="259" w:lineRule="auto"/>
        <w:ind w:left="2890"/>
      </w:pPr>
      <w:r>
        <w:rPr>
          <w:b/>
          <w:sz w:val="36"/>
        </w:rPr>
        <w:t xml:space="preserve">Reed Mining Consultants Pty Ltd   </w:t>
      </w:r>
    </w:p>
    <w:p w14:paraId="712AB793" w14:textId="77777777" w:rsidR="00821153" w:rsidRDefault="008910CC">
      <w:pPr>
        <w:spacing w:after="5" w:line="259" w:lineRule="auto"/>
        <w:ind w:left="0" w:right="10216" w:firstLine="0"/>
      </w:pPr>
      <w:r>
        <w:t xml:space="preserve">  </w:t>
      </w:r>
    </w:p>
    <w:p w14:paraId="0ED1694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2C0B1C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570986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B9365F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0BC41B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132337F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p w14:paraId="7DEE4827" w14:textId="77777777" w:rsidR="00821153" w:rsidRDefault="008910CC">
      <w:pPr>
        <w:spacing w:after="1536" w:line="265" w:lineRule="auto"/>
        <w:ind w:right="-15"/>
        <w:jc w:val="right"/>
      </w:pPr>
      <w:r>
        <w:rPr>
          <w:i w:val="0"/>
          <w:sz w:val="20"/>
        </w:rPr>
        <w:t>AAMC.001.005.0506</w:t>
      </w:r>
    </w:p>
    <w:p w14:paraId="39530924" w14:textId="77777777" w:rsidR="00821153" w:rsidRDefault="008910CC">
      <w:pPr>
        <w:pStyle w:val="Heading1"/>
        <w:ind w:left="432" w:hanging="432"/>
      </w:pPr>
      <w:bookmarkStart w:id="0" w:name="_Toc23172"/>
      <w:r>
        <w:lastRenderedPageBreak/>
        <w:t xml:space="preserve">Executive Summary </w:t>
      </w:r>
      <w:bookmarkEnd w:id="0"/>
    </w:p>
    <w:p w14:paraId="41926A9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9100BC2" w14:textId="77777777" w:rsidR="00821153" w:rsidRDefault="008910CC">
      <w:pPr>
        <w:ind w:left="-5" w:right="1606"/>
      </w:pPr>
      <w:r>
        <w:t xml:space="preserve">This report summarises the statutory compliance audit/review of the Grasstree Mine </w:t>
      </w:r>
    </w:p>
    <w:p w14:paraId="679FD057" w14:textId="77777777" w:rsidR="00821153" w:rsidRDefault="008910CC">
      <w:pPr>
        <w:ind w:left="-5" w:right="1606"/>
      </w:pPr>
      <w:r>
        <w:t>Safety and Health Management System conducted by Phil Reed (</w:t>
      </w:r>
      <w:r>
        <w:t xml:space="preserve">Reed Mining Consultants Pty Ltd) at the request of Sarah Makepeace – Systems and Assurance Manager.  </w:t>
      </w:r>
    </w:p>
    <w:p w14:paraId="790882A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68933D5" w14:textId="77777777" w:rsidR="00821153" w:rsidRDefault="008910CC">
      <w:pPr>
        <w:ind w:left="-5" w:right="1606"/>
      </w:pPr>
      <w:r>
        <w:t xml:space="preserve">The audit aims to provide an independent external assessment of the compliance of the </w:t>
      </w:r>
    </w:p>
    <w:p w14:paraId="68965342" w14:textId="77777777" w:rsidR="00821153" w:rsidRDefault="008910CC">
      <w:pPr>
        <w:ind w:left="-5" w:right="1606"/>
      </w:pPr>
      <w:r>
        <w:t>Safety and Health Management System against the requirements of t</w:t>
      </w:r>
      <w:r>
        <w:t xml:space="preserve">he Queensland Coal Mining Safety and Health Act 1999 (the Act) and the Queensland Coal Mining Safety and Health Regulation 2017) (the Regulation).  </w:t>
      </w:r>
    </w:p>
    <w:p w14:paraId="6A0505DB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DBE9E90" w14:textId="77777777" w:rsidR="00821153" w:rsidRDefault="008910CC">
      <w:pPr>
        <w:ind w:left="-5" w:right="1606"/>
      </w:pPr>
      <w:r>
        <w:t>The audit has been conducted using criteria obtained directly from the Act and Regulation. The audit iden</w:t>
      </w:r>
      <w:r>
        <w:t xml:space="preserve">tified a range of responses to the criteria from compliance to non-conformance.  </w:t>
      </w:r>
    </w:p>
    <w:p w14:paraId="74D5EBC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DC2251A" w14:textId="77777777" w:rsidR="00821153" w:rsidRDefault="008910CC">
      <w:pPr>
        <w:ind w:left="-5" w:right="1606"/>
      </w:pPr>
      <w:r>
        <w:t>The audit was conducted with full cooperation and enthusiasm from all persons who were approached as part of the audit.  The audit findings and conclusions are offered cons</w:t>
      </w:r>
      <w:r>
        <w:t xml:space="preserve">tructively and with the intent to improve the legislative compliance and eventually mine safety at Grasstree Mine. </w:t>
      </w:r>
    </w:p>
    <w:p w14:paraId="2C163621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B27681A" w14:textId="77777777" w:rsidR="00821153" w:rsidRDefault="008910CC">
      <w:pPr>
        <w:ind w:left="-5" w:right="1606"/>
      </w:pPr>
      <w:r>
        <w:t xml:space="preserve">The audit has found that the Safety and Health Management System (SHMS) currently in place at Grasstree </w:t>
      </w:r>
      <w:r>
        <w:t xml:space="preserve">is compliant as most documents are in place and within five (5) year review date, including the Management Structure and Mine Record. </w:t>
      </w:r>
    </w:p>
    <w:p w14:paraId="61D19EA9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1C0A4EB" w14:textId="77777777" w:rsidR="00821153" w:rsidRDefault="008910CC">
      <w:pPr>
        <w:ind w:left="-5" w:right="1606"/>
      </w:pPr>
      <w:r>
        <w:t>Overall, the detail in the documents audited generally comply with the requirements of the Coal Mining Safety and Healt</w:t>
      </w:r>
      <w:r>
        <w:t xml:space="preserve">h Act 1999 and Coal Mining Safety and Health Regulation 2017. </w:t>
      </w:r>
    </w:p>
    <w:p w14:paraId="168397F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169112E" w14:textId="77777777" w:rsidR="00821153" w:rsidRDefault="008910CC">
      <w:pPr>
        <w:ind w:left="-5" w:right="1606"/>
      </w:pPr>
      <w:r>
        <w:t>Most the Principal Hazard Management Plans (PHMPs), Hazard Management Plans (HMPs) and all the Standard Operating Procedures (SOPs) are in place and within the stated review period – excellen</w:t>
      </w:r>
      <w:r>
        <w:t xml:space="preserve">t result.  </w:t>
      </w:r>
    </w:p>
    <w:p w14:paraId="46C4EBA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B9031C5" w14:textId="77777777" w:rsidR="00821153" w:rsidRDefault="008910CC">
      <w:pPr>
        <w:ind w:left="-5" w:right="1606"/>
      </w:pPr>
      <w:r>
        <w:t xml:space="preserve">The main issue identified during the audit is that there are number of risk assessments that are either overdue or could not be found on SharePoint.  These risk assessments may </w:t>
      </w:r>
      <w:proofErr w:type="gramStart"/>
      <w:r>
        <w:t>exist</w:t>
      </w:r>
      <w:proofErr w:type="gramEnd"/>
      <w:r>
        <w:t xml:space="preserve"> but they are not readily available on SharePoint. </w:t>
      </w:r>
    </w:p>
    <w:p w14:paraId="35D20179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48F4D8E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89F2F2F" w14:textId="77777777" w:rsidR="00821153" w:rsidRDefault="008910CC">
      <w:pPr>
        <w:ind w:left="-5" w:right="1606"/>
      </w:pPr>
      <w:r>
        <w:t>Deta</w:t>
      </w:r>
      <w:r>
        <w:t xml:space="preserve">ils of each of the above areas are discussed in the Audit Findings section of this Report. </w:t>
      </w:r>
    </w:p>
    <w:p w14:paraId="2DE1D57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BC6592B" w14:textId="77777777" w:rsidR="00821153" w:rsidRDefault="008910CC">
      <w:pPr>
        <w:ind w:left="-5" w:right="1606"/>
      </w:pPr>
      <w:r>
        <w:t xml:space="preserve">The detail of the status of all documents audited against the requirements of the legislation can be found in the Audit Tool. </w:t>
      </w:r>
    </w:p>
    <w:p w14:paraId="1357AFE6" w14:textId="77777777" w:rsidR="00821153" w:rsidRDefault="008910CC">
      <w:pPr>
        <w:spacing w:line="259" w:lineRule="auto"/>
        <w:ind w:left="0" w:firstLine="0"/>
      </w:pPr>
      <w:r>
        <w:t xml:space="preserve">  </w:t>
      </w:r>
    </w:p>
    <w:p w14:paraId="2603C5E6" w14:textId="77777777" w:rsidR="00821153" w:rsidRDefault="008910CC">
      <w:pPr>
        <w:spacing w:after="1478" w:line="265" w:lineRule="auto"/>
        <w:ind w:right="-15"/>
        <w:jc w:val="right"/>
      </w:pPr>
      <w:r>
        <w:rPr>
          <w:i w:val="0"/>
          <w:sz w:val="20"/>
        </w:rPr>
        <w:t>AAMC.001.005.0507</w:t>
      </w:r>
    </w:p>
    <w:sdt>
      <w:sdtPr>
        <w:id w:val="2129889532"/>
        <w:docPartObj>
          <w:docPartGallery w:val="Table of Contents"/>
        </w:docPartObj>
      </w:sdtPr>
      <w:sdtEndPr/>
      <w:sdtContent>
        <w:p w14:paraId="79CBDCFF" w14:textId="77777777" w:rsidR="00821153" w:rsidRDefault="008910CC">
          <w:pPr>
            <w:ind w:left="-5" w:right="1606"/>
          </w:pPr>
          <w:r>
            <w:t xml:space="preserve">Table of Contents </w:t>
          </w:r>
        </w:p>
        <w:p w14:paraId="1CEA17AD" w14:textId="77777777" w:rsidR="00821153" w:rsidRDefault="008910CC">
          <w:pPr>
            <w:spacing w:after="153" w:line="259" w:lineRule="auto"/>
            <w:ind w:left="0" w:firstLine="0"/>
          </w:pPr>
          <w:r>
            <w:t xml:space="preserve"> </w:t>
          </w:r>
        </w:p>
        <w:p w14:paraId="5B9B1732" w14:textId="77777777" w:rsidR="00821153" w:rsidRDefault="008910CC">
          <w:pPr>
            <w:pStyle w:val="TOC1"/>
            <w:tabs>
              <w:tab w:val="right" w:pos="10277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3172">
            <w: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t>EXECUTIVE SUMMARY</w:t>
            </w:r>
            <w:r>
              <w:tab/>
            </w:r>
            <w:r>
              <w:fldChar w:fldCharType="begin"/>
            </w:r>
            <w:r>
              <w:instrText>PAGEREF _Toc23172 \h</w:instrText>
            </w:r>
            <w:r>
              <w:fldChar w:fldCharType="separate"/>
            </w:r>
            <w:r>
              <w:t xml:space="preserve">2 </w:t>
            </w:r>
            <w:r>
              <w:fldChar w:fldCharType="end"/>
            </w:r>
          </w:hyperlink>
        </w:p>
        <w:p w14:paraId="67D5C0B6" w14:textId="77777777" w:rsidR="00821153" w:rsidRDefault="008910CC">
          <w:pPr>
            <w:pStyle w:val="TOC1"/>
            <w:tabs>
              <w:tab w:val="right" w:pos="10277"/>
            </w:tabs>
          </w:pPr>
          <w:hyperlink w:anchor="_Toc23173">
            <w: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t>AUDIT SCOPE</w:t>
            </w:r>
            <w:r>
              <w:tab/>
            </w:r>
            <w:r>
              <w:fldChar w:fldCharType="begin"/>
            </w:r>
            <w:r>
              <w:instrText xml:space="preserve">PAGEREF </w:instrText>
            </w:r>
            <w:r>
              <w:instrText>_Toc23173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14:paraId="0E4F075F" w14:textId="77777777" w:rsidR="00821153" w:rsidRDefault="008910CC">
          <w:pPr>
            <w:pStyle w:val="TOC1"/>
            <w:tabs>
              <w:tab w:val="right" w:pos="10277"/>
            </w:tabs>
          </w:pPr>
          <w:hyperlink w:anchor="_Toc23174">
            <w: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t>AUDIT PROCESS</w:t>
            </w:r>
            <w:r>
              <w:tab/>
            </w:r>
            <w:r>
              <w:fldChar w:fldCharType="begin"/>
            </w:r>
            <w:r>
              <w:instrText>PAGEREF _Toc23174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14:paraId="08DA87A7" w14:textId="77777777" w:rsidR="00821153" w:rsidRDefault="008910CC">
          <w:pPr>
            <w:pStyle w:val="TOC1"/>
            <w:tabs>
              <w:tab w:val="right" w:pos="10277"/>
            </w:tabs>
          </w:pPr>
          <w:hyperlink w:anchor="_Toc23175">
            <w:r>
              <w:t>4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t xml:space="preserve">AUDIT </w:t>
            </w:r>
            <w:r>
              <w:t>FINDINGS</w:t>
            </w:r>
            <w:r>
              <w:tab/>
            </w:r>
            <w:r>
              <w:fldChar w:fldCharType="begin"/>
            </w:r>
            <w:r>
              <w:instrText>PAGEREF _Toc23175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4292D7BA" w14:textId="77777777" w:rsidR="00821153" w:rsidRDefault="008910CC">
          <w:pPr>
            <w:pStyle w:val="TOC2"/>
            <w:tabs>
              <w:tab w:val="right" w:pos="10277"/>
            </w:tabs>
          </w:pPr>
          <w:hyperlink w:anchor="_Toc23176">
            <w:r>
              <w:t>4.1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>Status of Safety and Health Management System</w:t>
            </w:r>
            <w:r>
              <w:tab/>
            </w:r>
            <w:r>
              <w:fldChar w:fldCharType="begin"/>
            </w:r>
            <w:r>
              <w:instrText>PAGEREF _Toc23176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166ACE0B" w14:textId="77777777" w:rsidR="00821153" w:rsidRDefault="008910CC">
          <w:pPr>
            <w:pStyle w:val="TOC2"/>
            <w:tabs>
              <w:tab w:val="right" w:pos="10277"/>
            </w:tabs>
          </w:pPr>
          <w:hyperlink w:anchor="_Toc23177">
            <w:r>
              <w:t>4.2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>Management Structure</w:t>
            </w:r>
            <w:r>
              <w:tab/>
            </w:r>
            <w:r>
              <w:fldChar w:fldCharType="begin"/>
            </w:r>
            <w:r>
              <w:instrText>PAGEREF _Toc23177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14:paraId="1A6F3CD0" w14:textId="77777777" w:rsidR="00821153" w:rsidRDefault="008910CC">
          <w:pPr>
            <w:pStyle w:val="TOC2"/>
            <w:tabs>
              <w:tab w:val="right" w:pos="10277"/>
            </w:tabs>
          </w:pPr>
          <w:hyperlink w:anchor="_Toc23178">
            <w:r>
              <w:t>4.3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>Mine Record</w:t>
            </w:r>
            <w:r>
              <w:tab/>
            </w:r>
            <w:r>
              <w:fldChar w:fldCharType="begin"/>
            </w:r>
            <w:r>
              <w:instrText>PAGEREF _Toc23178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14:paraId="387CAF9C" w14:textId="77777777" w:rsidR="00821153" w:rsidRDefault="008910CC">
          <w:pPr>
            <w:pStyle w:val="TOC2"/>
            <w:tabs>
              <w:tab w:val="right" w:pos="10277"/>
            </w:tabs>
          </w:pPr>
          <w:hyperlink w:anchor="_Toc23179">
            <w:r>
              <w:t>4.4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>Risk Assessments</w:t>
            </w:r>
            <w:r>
              <w:tab/>
            </w:r>
            <w:r>
              <w:fldChar w:fldCharType="begin"/>
            </w:r>
            <w:r>
              <w:instrText>PAGEREF _Toc23179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14:paraId="2269C86B" w14:textId="77777777" w:rsidR="00821153" w:rsidRDefault="008910CC">
          <w:pPr>
            <w:pStyle w:val="TOC2"/>
            <w:tabs>
              <w:tab w:val="right" w:pos="10277"/>
            </w:tabs>
          </w:pPr>
          <w:hyperlink w:anchor="_Toc23180">
            <w:r>
              <w:t>4.5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>Standard Operating Procedures – SOPs</w:t>
            </w:r>
            <w:r>
              <w:tab/>
            </w:r>
            <w:r>
              <w:fldChar w:fldCharType="begin"/>
            </w:r>
            <w:r>
              <w:instrText>PAGEREF _Toc23180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14:paraId="4F3A750E" w14:textId="77777777" w:rsidR="00821153" w:rsidRDefault="008910CC">
          <w:pPr>
            <w:pStyle w:val="TOC2"/>
            <w:tabs>
              <w:tab w:val="right" w:pos="10277"/>
            </w:tabs>
          </w:pPr>
          <w:hyperlink w:anchor="_Toc23181">
            <w:r>
              <w:t>4.6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t>Other Procedures</w:t>
            </w:r>
            <w:r>
              <w:tab/>
            </w:r>
            <w:r>
              <w:fldChar w:fldCharType="begin"/>
            </w:r>
            <w:r>
              <w:instrText>PAGEREF _Toc23181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10A97F2B" w14:textId="77777777" w:rsidR="00821153" w:rsidRDefault="008910CC">
          <w:pPr>
            <w:pStyle w:val="TOC1"/>
            <w:tabs>
              <w:tab w:val="right" w:pos="10277"/>
            </w:tabs>
          </w:pPr>
          <w:hyperlink w:anchor="_Toc23182">
            <w:r>
              <w:t>5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t>RECOMMENDATIONS FOR IMPROVEMENT</w:t>
            </w:r>
            <w:r>
              <w:tab/>
            </w:r>
            <w:r>
              <w:fldChar w:fldCharType="begin"/>
            </w:r>
            <w:r>
              <w:instrText>PAGEREF _Toc23182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14:paraId="5180495F" w14:textId="77777777" w:rsidR="00821153" w:rsidRDefault="008910CC">
          <w:r>
            <w:fldChar w:fldCharType="end"/>
          </w:r>
        </w:p>
      </w:sdtContent>
    </w:sdt>
    <w:p w14:paraId="418B968E" w14:textId="77777777" w:rsidR="00821153" w:rsidRDefault="008910CC">
      <w:pPr>
        <w:spacing w:after="4" w:line="259" w:lineRule="auto"/>
        <w:ind w:left="0" w:firstLine="0"/>
      </w:pPr>
      <w:r>
        <w:t xml:space="preserve">  </w:t>
      </w:r>
    </w:p>
    <w:p w14:paraId="231BA5A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6AE7F8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F5F876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ED9818F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94C254F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9404A2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26976B6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2FBF4F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6F1813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9F6305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4AA010E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8F7427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0BCA00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F54D2A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4218EB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66D7BC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131F44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4744A9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C5E48B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8176CDD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5B84DD4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A8E74F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628FA8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D1EB5C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E304C6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DEF5B8A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297946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C25E487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p w14:paraId="14BCDB19" w14:textId="77777777" w:rsidR="00821153" w:rsidRDefault="008910CC">
      <w:pPr>
        <w:spacing w:after="1536" w:line="265" w:lineRule="auto"/>
        <w:ind w:right="-15"/>
        <w:jc w:val="right"/>
      </w:pPr>
      <w:r>
        <w:rPr>
          <w:i w:val="0"/>
          <w:sz w:val="20"/>
        </w:rPr>
        <w:t>AAMC.001.005.0508</w:t>
      </w:r>
    </w:p>
    <w:p w14:paraId="2C2E0F92" w14:textId="77777777" w:rsidR="00821153" w:rsidRDefault="008910CC">
      <w:pPr>
        <w:pStyle w:val="Heading1"/>
        <w:ind w:left="432" w:hanging="432"/>
      </w:pPr>
      <w:bookmarkStart w:id="1" w:name="_Toc23173"/>
      <w:r>
        <w:lastRenderedPageBreak/>
        <w:t xml:space="preserve">Audit Scope.  </w:t>
      </w:r>
      <w:bookmarkEnd w:id="1"/>
    </w:p>
    <w:p w14:paraId="7E18246F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F3AB2B4" w14:textId="77777777" w:rsidR="00821153" w:rsidRDefault="008910CC">
      <w:pPr>
        <w:ind w:left="-5" w:right="1606"/>
      </w:pPr>
      <w:r>
        <w:t xml:space="preserve">The Scope of the audit was compliance of the Grasstree Safety and Health Management </w:t>
      </w:r>
    </w:p>
    <w:p w14:paraId="09E69150" w14:textId="77777777" w:rsidR="00821153" w:rsidRDefault="008910CC">
      <w:pPr>
        <w:ind w:left="-5" w:right="1606"/>
      </w:pPr>
      <w:r>
        <w:t xml:space="preserve">System (SHMS) against the requirements of Queensland Coal Mining Safety and Health Act 1999 (the Act) and the Queensland Coal Mining Safety and Health Regulation 2017) (the Regulation).  </w:t>
      </w:r>
    </w:p>
    <w:p w14:paraId="6D616F85" w14:textId="77777777" w:rsidR="00821153" w:rsidRDefault="008910CC">
      <w:pPr>
        <w:spacing w:after="302" w:line="259" w:lineRule="auto"/>
        <w:ind w:left="0" w:firstLine="0"/>
      </w:pPr>
      <w:r>
        <w:t xml:space="preserve"> </w:t>
      </w:r>
    </w:p>
    <w:p w14:paraId="4E0029C4" w14:textId="77777777" w:rsidR="00821153" w:rsidRDefault="008910CC">
      <w:pPr>
        <w:pStyle w:val="Heading1"/>
        <w:ind w:left="432" w:hanging="432"/>
      </w:pPr>
      <w:bookmarkStart w:id="2" w:name="_Toc23174"/>
      <w:r>
        <w:t xml:space="preserve">Audit Process </w:t>
      </w:r>
      <w:bookmarkEnd w:id="2"/>
    </w:p>
    <w:p w14:paraId="774F262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276CFB4" w14:textId="77777777" w:rsidR="00821153" w:rsidRDefault="008910CC">
      <w:pPr>
        <w:ind w:left="-5" w:right="1606"/>
      </w:pPr>
      <w:r>
        <w:t>The audit was conducted by Phil Reed of Reed Mini</w:t>
      </w:r>
      <w:r>
        <w:t xml:space="preserve">ng Consultants Pty Ltd.  </w:t>
      </w:r>
    </w:p>
    <w:p w14:paraId="130AEEDB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579FF75" w14:textId="77777777" w:rsidR="00821153" w:rsidRDefault="008910CC">
      <w:pPr>
        <w:ind w:left="-5" w:right="1606"/>
      </w:pPr>
      <w:r>
        <w:t xml:space="preserve">This was a desktop audit to determine whether all requirements of the legislation were being addressed within the Grasstree Mine SHMS. </w:t>
      </w:r>
    </w:p>
    <w:p w14:paraId="5449F24F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3E1B37E" w14:textId="77777777" w:rsidR="00821153" w:rsidRDefault="008910CC">
      <w:pPr>
        <w:ind w:left="-5" w:right="1606"/>
      </w:pPr>
      <w:r>
        <w:t xml:space="preserve">An Audit Tool was developed to conduct the audit based on the requirements of: </w:t>
      </w:r>
    </w:p>
    <w:p w14:paraId="74AFA6BC" w14:textId="77777777" w:rsidR="00821153" w:rsidRDefault="008910CC">
      <w:pPr>
        <w:spacing w:after="40" w:line="259" w:lineRule="auto"/>
        <w:ind w:left="0" w:firstLine="0"/>
      </w:pPr>
      <w:r>
        <w:t xml:space="preserve"> </w:t>
      </w:r>
    </w:p>
    <w:p w14:paraId="119C82D2" w14:textId="77777777" w:rsidR="00821153" w:rsidRDefault="008910CC">
      <w:pPr>
        <w:numPr>
          <w:ilvl w:val="0"/>
          <w:numId w:val="1"/>
        </w:numPr>
        <w:ind w:right="1606" w:hanging="230"/>
      </w:pPr>
      <w:r>
        <w:t>Queensla</w:t>
      </w:r>
      <w:r>
        <w:t xml:space="preserve">nd Coal Mining Safety and Health Act 1999  </w:t>
      </w:r>
    </w:p>
    <w:p w14:paraId="3C5363F8" w14:textId="77777777" w:rsidR="00821153" w:rsidRDefault="008910CC">
      <w:pPr>
        <w:spacing w:after="40" w:line="259" w:lineRule="auto"/>
        <w:ind w:left="0" w:firstLine="0"/>
      </w:pPr>
      <w:r>
        <w:t xml:space="preserve"> </w:t>
      </w:r>
    </w:p>
    <w:p w14:paraId="662EE4FA" w14:textId="77777777" w:rsidR="00821153" w:rsidRDefault="008910CC">
      <w:pPr>
        <w:numPr>
          <w:ilvl w:val="0"/>
          <w:numId w:val="1"/>
        </w:numPr>
        <w:ind w:right="1606" w:hanging="230"/>
      </w:pPr>
      <w:r>
        <w:t xml:space="preserve">Queensland Coal Mining Safety and Health Regulation 2017   </w:t>
      </w:r>
    </w:p>
    <w:p w14:paraId="30133A64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CB3D38F" w14:textId="77777777" w:rsidR="00821153" w:rsidRDefault="008910CC">
      <w:pPr>
        <w:ind w:left="-5" w:right="1606"/>
      </w:pPr>
      <w:r>
        <w:t xml:space="preserve">All available SHMS documentation was reviewed against the audit tool.  </w:t>
      </w:r>
    </w:p>
    <w:p w14:paraId="49C80EDB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AEED5C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78C148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3FD3639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415E9BF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7B5115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866FEF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5250F53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6DC3FD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A8A9E9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2F294CB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F43015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8975F6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23351A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5D1254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390D171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5BFA70F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478971C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149CA8A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6EBE0E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21FF6C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F4B099B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p w14:paraId="7CBC6CED" w14:textId="77777777" w:rsidR="00821153" w:rsidRDefault="008910CC">
      <w:pPr>
        <w:spacing w:after="1536" w:line="265" w:lineRule="auto"/>
        <w:ind w:right="-15"/>
        <w:jc w:val="right"/>
      </w:pPr>
      <w:r>
        <w:rPr>
          <w:i w:val="0"/>
          <w:sz w:val="20"/>
        </w:rPr>
        <w:t>AAMC.001.005.0509</w:t>
      </w:r>
    </w:p>
    <w:p w14:paraId="63ABB668" w14:textId="77777777" w:rsidR="00821153" w:rsidRDefault="008910CC">
      <w:pPr>
        <w:pStyle w:val="Heading1"/>
        <w:spacing w:after="249"/>
        <w:ind w:left="432" w:hanging="432"/>
      </w:pPr>
      <w:bookmarkStart w:id="3" w:name="_Toc23175"/>
      <w:r>
        <w:lastRenderedPageBreak/>
        <w:t xml:space="preserve">Audit Findings </w:t>
      </w:r>
      <w:bookmarkEnd w:id="3"/>
    </w:p>
    <w:p w14:paraId="4D81ACCA" w14:textId="77777777" w:rsidR="00821153" w:rsidRDefault="008910CC">
      <w:pPr>
        <w:pStyle w:val="Heading2"/>
        <w:ind w:left="1425" w:hanging="900"/>
      </w:pPr>
      <w:bookmarkStart w:id="4" w:name="_Toc23176"/>
      <w:r>
        <w:t xml:space="preserve">Status of Safety and Health Management System </w:t>
      </w:r>
      <w:bookmarkEnd w:id="4"/>
    </w:p>
    <w:p w14:paraId="02CEA8A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D28343B" w14:textId="77777777" w:rsidR="00821153" w:rsidRDefault="008910CC">
      <w:pPr>
        <w:ind w:left="-5" w:right="1606"/>
      </w:pPr>
      <w:r>
        <w:t xml:space="preserve">The audit has found that the SHMS currently in place at Grasstree is compliant as most documents (except some risk assessments) are in place and within five (5) year review </w:t>
      </w:r>
      <w:r>
        <w:t xml:space="preserve">date. </w:t>
      </w:r>
    </w:p>
    <w:p w14:paraId="1A688C1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7D1F703" w14:textId="77777777" w:rsidR="00821153" w:rsidRDefault="008910CC">
      <w:pPr>
        <w:ind w:left="-5" w:right="1606"/>
      </w:pPr>
      <w:r>
        <w:t xml:space="preserve">Overall, the detail in the documents audited generally comply with the requirements of the Coal Mining Safety and Health Act 1999 and Coal Mining Safety and Health Regulation 2017. </w:t>
      </w:r>
    </w:p>
    <w:p w14:paraId="0CFE069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84F4977" w14:textId="77777777" w:rsidR="00821153" w:rsidRDefault="008910CC">
      <w:pPr>
        <w:ind w:left="-5" w:right="1606"/>
      </w:pPr>
      <w:r>
        <w:t>Most of the Principal Hazard Management Plans (PHMPs), Hazard M</w:t>
      </w:r>
      <w:r>
        <w:t xml:space="preserve">anagement Plans (HMPs) and all the Standard Operating Procedures (SOPs are in place and within the stated review period – excellent result.  </w:t>
      </w:r>
    </w:p>
    <w:p w14:paraId="64C20AB5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321AF9A" w14:textId="77777777" w:rsidR="00821153" w:rsidRDefault="008910CC">
      <w:pPr>
        <w:ind w:left="-5" w:right="1606"/>
      </w:pPr>
      <w:r>
        <w:t xml:space="preserve">Management at Grasstree should be commended for not only ensuring that the SHMS at </w:t>
      </w:r>
    </w:p>
    <w:p w14:paraId="3E5A655C" w14:textId="77777777" w:rsidR="00821153" w:rsidRDefault="008910CC">
      <w:pPr>
        <w:ind w:left="-5" w:right="1606"/>
      </w:pPr>
      <w:r>
        <w:t xml:space="preserve">Grasstree is compliant with </w:t>
      </w:r>
      <w:r>
        <w:t xml:space="preserve">the requirements of the Coal Mining Safety and Health Act 1999 and Coal Mining Safety and Health Regulation 2017, but also that </w:t>
      </w:r>
      <w:proofErr w:type="gramStart"/>
      <w:r>
        <w:t>the majority of</w:t>
      </w:r>
      <w:proofErr w:type="gramEnd"/>
      <w:r>
        <w:t xml:space="preserve"> documents are up to date and within the review date. </w:t>
      </w:r>
    </w:p>
    <w:p w14:paraId="2CEF600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643C2B5" w14:textId="77777777" w:rsidR="00821153" w:rsidRDefault="008910CC">
      <w:pPr>
        <w:ind w:left="-5" w:right="1606"/>
      </w:pPr>
      <w:r>
        <w:t>The main issue identified during the audit is that there</w:t>
      </w:r>
      <w:r>
        <w:t xml:space="preserve"> are number of risk assessments that are either overdue or could not be found on SharePoint.  These risk assessments may </w:t>
      </w:r>
      <w:proofErr w:type="gramStart"/>
      <w:r>
        <w:t>exist</w:t>
      </w:r>
      <w:proofErr w:type="gramEnd"/>
      <w:r>
        <w:t xml:space="preserve"> but they are not readily available on SharePoint. </w:t>
      </w:r>
    </w:p>
    <w:p w14:paraId="2091959D" w14:textId="77777777" w:rsidR="00821153" w:rsidRDefault="008910CC">
      <w:pPr>
        <w:spacing w:after="302" w:line="259" w:lineRule="auto"/>
        <w:ind w:left="0" w:firstLine="0"/>
      </w:pPr>
      <w:r>
        <w:t xml:space="preserve"> </w:t>
      </w:r>
    </w:p>
    <w:p w14:paraId="0C256541" w14:textId="77777777" w:rsidR="00821153" w:rsidRDefault="008910CC">
      <w:pPr>
        <w:pStyle w:val="Heading2"/>
        <w:ind w:left="1425" w:hanging="900"/>
      </w:pPr>
      <w:bookmarkStart w:id="5" w:name="_Toc23177"/>
      <w:r>
        <w:t xml:space="preserve">Management Structure </w:t>
      </w:r>
      <w:bookmarkEnd w:id="5"/>
    </w:p>
    <w:p w14:paraId="11AA3174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937E384" w14:textId="77777777" w:rsidR="00821153" w:rsidRDefault="008910CC">
      <w:pPr>
        <w:ind w:left="-5" w:right="1606"/>
      </w:pPr>
      <w:r>
        <w:t>The audit has found that the Management Structure fo</w:t>
      </w:r>
      <w:r>
        <w:t xml:space="preserve">r Grasstree mine is </w:t>
      </w:r>
      <w:proofErr w:type="gramStart"/>
      <w:r>
        <w:t>a very good</w:t>
      </w:r>
      <w:proofErr w:type="gramEnd"/>
      <w:r>
        <w:t xml:space="preserve"> document and compliant with section 55 of the Coal Mining Safety and Health Act 1999 including: </w:t>
      </w:r>
    </w:p>
    <w:p w14:paraId="00201786" w14:textId="77777777" w:rsidR="00821153" w:rsidRDefault="008910CC">
      <w:pPr>
        <w:spacing w:after="40" w:line="259" w:lineRule="auto"/>
        <w:ind w:left="0" w:firstLine="0"/>
      </w:pPr>
      <w:r>
        <w:t xml:space="preserve"> </w:t>
      </w:r>
    </w:p>
    <w:p w14:paraId="6A33179D" w14:textId="77777777" w:rsidR="00821153" w:rsidRDefault="008910CC">
      <w:pPr>
        <w:numPr>
          <w:ilvl w:val="0"/>
          <w:numId w:val="2"/>
        </w:numPr>
        <w:ind w:right="1606" w:hanging="360"/>
      </w:pPr>
      <w:r>
        <w:t xml:space="preserve">It appears to be well maintained and kept up to date. </w:t>
      </w:r>
    </w:p>
    <w:p w14:paraId="451DDB1F" w14:textId="77777777" w:rsidR="00821153" w:rsidRDefault="008910CC">
      <w:pPr>
        <w:numPr>
          <w:ilvl w:val="0"/>
          <w:numId w:val="2"/>
        </w:numPr>
        <w:ind w:right="1606" w:hanging="360"/>
      </w:pPr>
      <w:r>
        <w:t xml:space="preserve">Ample evidence that any changes to the Management Structure are sent to the Mines Inspector within the required fourteen (14) </w:t>
      </w:r>
      <w:proofErr w:type="gramStart"/>
      <w:r>
        <w:t>days</w:t>
      </w:r>
      <w:proofErr w:type="gramEnd"/>
      <w:r>
        <w:t xml:space="preserve"> </w:t>
      </w:r>
    </w:p>
    <w:p w14:paraId="256C0A8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CDBD353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t>The only potential issue with the latest version of the Management Structure Version 66 (19/6/2019) is that it shows the U</w:t>
      </w:r>
      <w:r w:rsidRPr="00C7321D">
        <w:rPr>
          <w:highlight w:val="yellow"/>
        </w:rPr>
        <w:t xml:space="preserve">nderground Mine Manager </w:t>
      </w:r>
      <w:r w:rsidRPr="00C7321D">
        <w:rPr>
          <w:highlight w:val="yellow"/>
          <w:u w:val="single" w:color="000000"/>
        </w:rPr>
        <w:t>does not have</w:t>
      </w:r>
      <w:r w:rsidRPr="00C7321D">
        <w:rPr>
          <w:highlight w:val="yellow"/>
        </w:rPr>
        <w:t xml:space="preserve"> any other positions reporting to him. </w:t>
      </w:r>
    </w:p>
    <w:p w14:paraId="5846F689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356CC860" w14:textId="77777777" w:rsidR="00821153" w:rsidRDefault="008910CC">
      <w:pPr>
        <w:ind w:left="-5" w:right="1606"/>
      </w:pPr>
      <w:r w:rsidRPr="00C7321D">
        <w:rPr>
          <w:highlight w:val="yellow"/>
        </w:rPr>
        <w:t xml:space="preserve">This appears to be an error as previous versions </w:t>
      </w:r>
      <w:r w:rsidRPr="00C7321D">
        <w:rPr>
          <w:highlight w:val="yellow"/>
          <w:u w:val="single" w:color="000000"/>
        </w:rPr>
        <w:t>do have</w:t>
      </w:r>
      <w:r w:rsidRPr="00C7321D">
        <w:rPr>
          <w:highlight w:val="yellow"/>
        </w:rPr>
        <w:t xml:space="preserve"> other positions reporting to the Underground Mine Manager.</w:t>
      </w:r>
      <w:r>
        <w:t xml:space="preserve"> </w:t>
      </w:r>
    </w:p>
    <w:p w14:paraId="294FE637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93F8F9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6738160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p w14:paraId="6836EF4D" w14:textId="77777777" w:rsidR="00821153" w:rsidRDefault="008910CC">
      <w:pPr>
        <w:spacing w:after="1478" w:line="265" w:lineRule="auto"/>
        <w:ind w:right="-15"/>
        <w:jc w:val="right"/>
      </w:pPr>
      <w:r>
        <w:rPr>
          <w:i w:val="0"/>
          <w:sz w:val="20"/>
        </w:rPr>
        <w:t>AAMC.001.005.0510</w:t>
      </w:r>
    </w:p>
    <w:p w14:paraId="1E875C5A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lastRenderedPageBreak/>
        <w:t xml:space="preserve">As such it is recommended: </w:t>
      </w:r>
    </w:p>
    <w:p w14:paraId="49EEBA71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66736168" w14:textId="77777777" w:rsidR="00821153" w:rsidRDefault="008910CC">
      <w:pPr>
        <w:ind w:left="-5" w:right="1606"/>
      </w:pPr>
      <w:r w:rsidRPr="00C7321D">
        <w:rPr>
          <w:highlight w:val="yellow"/>
        </w:rPr>
        <w:t xml:space="preserve">Check </w:t>
      </w:r>
      <w:r w:rsidRPr="00C7321D">
        <w:rPr>
          <w:highlight w:val="yellow"/>
        </w:rPr>
        <w:t xml:space="preserve">Org. Chart in section 2(4) of Management Structure version 66 dated 19/6/2019 as it shows Underground Mine Manager (UMM) does </w:t>
      </w:r>
      <w:r w:rsidRPr="00C7321D">
        <w:rPr>
          <w:highlight w:val="yellow"/>
          <w:u w:val="single" w:color="000000"/>
        </w:rPr>
        <w:t>not have</w:t>
      </w:r>
      <w:r w:rsidRPr="00C7321D">
        <w:rPr>
          <w:highlight w:val="yellow"/>
        </w:rPr>
        <w:t xml:space="preserve"> anyone reporting to </w:t>
      </w:r>
      <w:proofErr w:type="gramStart"/>
      <w:r w:rsidRPr="00C7321D">
        <w:rPr>
          <w:highlight w:val="yellow"/>
        </w:rPr>
        <w:t>him</w:t>
      </w:r>
      <w:proofErr w:type="gramEnd"/>
      <w:r>
        <w:t xml:space="preserve"> </w:t>
      </w:r>
    </w:p>
    <w:p w14:paraId="736CC33F" w14:textId="77777777" w:rsidR="00821153" w:rsidRDefault="008910CC">
      <w:pPr>
        <w:spacing w:after="302" w:line="259" w:lineRule="auto"/>
        <w:ind w:left="0" w:firstLine="0"/>
      </w:pPr>
      <w:r>
        <w:t xml:space="preserve"> </w:t>
      </w:r>
    </w:p>
    <w:p w14:paraId="2E8B3A61" w14:textId="77777777" w:rsidR="00821153" w:rsidRDefault="008910CC">
      <w:pPr>
        <w:pStyle w:val="Heading2"/>
        <w:ind w:left="1425" w:hanging="900"/>
      </w:pPr>
      <w:bookmarkStart w:id="6" w:name="_Toc23178"/>
      <w:r>
        <w:t xml:space="preserve">Mine Record </w:t>
      </w:r>
      <w:bookmarkEnd w:id="6"/>
    </w:p>
    <w:p w14:paraId="2E4B63B2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D3C6FF2" w14:textId="77777777" w:rsidR="00821153" w:rsidRDefault="008910CC">
      <w:pPr>
        <w:ind w:left="-5" w:right="1606"/>
      </w:pPr>
      <w:r>
        <w:t>The Grasstree Mine Record contains much of the required information as per sect</w:t>
      </w:r>
      <w:r>
        <w:t xml:space="preserve">ion 68 of the Coal Mining Safety and Health Act 1999 including: </w:t>
      </w:r>
    </w:p>
    <w:p w14:paraId="329F46F2" w14:textId="77777777" w:rsidR="00821153" w:rsidRDefault="008910CC">
      <w:pPr>
        <w:spacing w:after="5" w:line="259" w:lineRule="auto"/>
        <w:ind w:left="0" w:firstLine="0"/>
      </w:pPr>
      <w:r>
        <w:t xml:space="preserve"> </w:t>
      </w:r>
    </w:p>
    <w:p w14:paraId="237175F3" w14:textId="77777777" w:rsidR="00821153" w:rsidRDefault="008910CC">
      <w:pPr>
        <w:numPr>
          <w:ilvl w:val="0"/>
          <w:numId w:val="3"/>
        </w:numPr>
        <w:ind w:right="3118" w:hanging="360"/>
      </w:pPr>
      <w:r>
        <w:t xml:space="preserve">Mines Inspectors MRE’s and mine’s replies </w:t>
      </w:r>
      <w:r>
        <w:rPr>
          <w:rFonts w:ascii="Courier New" w:eastAsia="Courier New" w:hAnsi="Courier New" w:cs="Courier New"/>
          <w:i w:val="0"/>
        </w:rPr>
        <w:t>o</w:t>
      </w:r>
      <w:r>
        <w:rPr>
          <w:i w:val="0"/>
        </w:rPr>
        <w:t xml:space="preserve"> </w:t>
      </w:r>
      <w:r>
        <w:t xml:space="preserve">Directives and mine’s replies </w:t>
      </w:r>
      <w:r>
        <w:rPr>
          <w:rFonts w:ascii="Courier New" w:eastAsia="Courier New" w:hAnsi="Courier New" w:cs="Courier New"/>
          <w:i w:val="0"/>
        </w:rPr>
        <w:t>o</w:t>
      </w:r>
      <w:r>
        <w:rPr>
          <w:i w:val="0"/>
        </w:rPr>
        <w:t xml:space="preserve"> </w:t>
      </w:r>
      <w:r>
        <w:t xml:space="preserve">Accidents and Incident reports, </w:t>
      </w:r>
      <w:proofErr w:type="gramStart"/>
      <w:r>
        <w:t xml:space="preserve">ICAMs  </w:t>
      </w:r>
      <w:r>
        <w:rPr>
          <w:rFonts w:ascii="Courier New" w:eastAsia="Courier New" w:hAnsi="Courier New" w:cs="Courier New"/>
          <w:i w:val="0"/>
        </w:rPr>
        <w:t>o</w:t>
      </w:r>
      <w:proofErr w:type="gramEnd"/>
      <w:r>
        <w:rPr>
          <w:i w:val="0"/>
        </w:rPr>
        <w:t xml:space="preserve"> </w:t>
      </w:r>
      <w:r>
        <w:t xml:space="preserve">HPI notifications and reports </w:t>
      </w:r>
      <w:proofErr w:type="spellStart"/>
      <w:r>
        <w:rPr>
          <w:rFonts w:ascii="Courier New" w:eastAsia="Courier New" w:hAnsi="Courier New" w:cs="Courier New"/>
          <w:i w:val="0"/>
        </w:rPr>
        <w:t>o</w:t>
      </w:r>
      <w:proofErr w:type="spellEnd"/>
      <w:r>
        <w:rPr>
          <w:i w:val="0"/>
        </w:rPr>
        <w:t xml:space="preserve"> </w:t>
      </w:r>
      <w:r>
        <w:t xml:space="preserve">Management Structure </w:t>
      </w:r>
    </w:p>
    <w:p w14:paraId="52C6C26B" w14:textId="77777777" w:rsidR="00821153" w:rsidRDefault="008910CC">
      <w:pPr>
        <w:numPr>
          <w:ilvl w:val="0"/>
          <w:numId w:val="3"/>
        </w:numPr>
        <w:ind w:right="3118" w:hanging="360"/>
      </w:pPr>
      <w:r>
        <w:t xml:space="preserve">Appointments </w:t>
      </w:r>
    </w:p>
    <w:p w14:paraId="2E1D663A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8E7935E" w14:textId="77777777" w:rsidR="00821153" w:rsidRDefault="008910CC">
      <w:pPr>
        <w:ind w:left="-5" w:right="1606"/>
      </w:pPr>
      <w:r>
        <w:t xml:space="preserve">All the above information has been kept up to date. </w:t>
      </w:r>
    </w:p>
    <w:p w14:paraId="270D3DE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20C04E8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t xml:space="preserve">The following are </w:t>
      </w:r>
      <w:r w:rsidRPr="00C7321D">
        <w:rPr>
          <w:highlight w:val="yellow"/>
          <w:u w:val="single" w:color="000000"/>
        </w:rPr>
        <w:t>suggested additions</w:t>
      </w:r>
      <w:r w:rsidRPr="00C7321D">
        <w:rPr>
          <w:highlight w:val="yellow"/>
        </w:rPr>
        <w:t xml:space="preserve"> to the Grasstree Mine Record: </w:t>
      </w:r>
    </w:p>
    <w:p w14:paraId="62251125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430FA29D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t xml:space="preserve">Appointment of Coal Mine Operator </w:t>
      </w:r>
    </w:p>
    <w:p w14:paraId="49DE49A3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6FBBBB91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t>In the Grasstree Mine Record there was no evidence the appointment of the Coa</w:t>
      </w:r>
      <w:r w:rsidRPr="00C7321D">
        <w:rPr>
          <w:highlight w:val="yellow"/>
        </w:rPr>
        <w:t xml:space="preserve">l Mine Operator and the Coal Mine Operator Representative. </w:t>
      </w:r>
    </w:p>
    <w:p w14:paraId="1017A336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75DD1A11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t xml:space="preserve">This should be included in the Mine record. </w:t>
      </w:r>
    </w:p>
    <w:p w14:paraId="3E3DFB02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6AD346E1" w14:textId="77777777" w:rsidR="00821153" w:rsidRPr="00C7321D" w:rsidRDefault="008910CC">
      <w:pPr>
        <w:ind w:left="-5" w:right="1606"/>
        <w:rPr>
          <w:highlight w:val="yellow"/>
        </w:rPr>
      </w:pPr>
      <w:r w:rsidRPr="00C7321D">
        <w:rPr>
          <w:highlight w:val="yellow"/>
        </w:rPr>
        <w:t xml:space="preserve">Mines Rescue Agreement </w:t>
      </w:r>
    </w:p>
    <w:p w14:paraId="465306B2" w14:textId="77777777" w:rsidR="00821153" w:rsidRPr="00C7321D" w:rsidRDefault="008910CC">
      <w:pPr>
        <w:spacing w:after="4" w:line="259" w:lineRule="auto"/>
        <w:ind w:left="0" w:firstLine="0"/>
        <w:rPr>
          <w:highlight w:val="yellow"/>
        </w:rPr>
      </w:pPr>
      <w:r w:rsidRPr="00C7321D">
        <w:rPr>
          <w:highlight w:val="yellow"/>
        </w:rPr>
        <w:t xml:space="preserve"> </w:t>
      </w:r>
    </w:p>
    <w:p w14:paraId="7A34B64C" w14:textId="77777777" w:rsidR="00821153" w:rsidRDefault="008910CC">
      <w:pPr>
        <w:ind w:left="-5" w:right="1606"/>
      </w:pPr>
      <w:r w:rsidRPr="00C7321D">
        <w:rPr>
          <w:highlight w:val="yellow"/>
        </w:rPr>
        <w:t>It is recommended that the Grasstree – Mines Rescue Agreement be added to the Mine Record.</w:t>
      </w:r>
      <w:r>
        <w:t xml:space="preserve"> </w:t>
      </w:r>
    </w:p>
    <w:p w14:paraId="5342876E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3A5270AF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p w14:paraId="07B9CEBB" w14:textId="77777777" w:rsidR="00821153" w:rsidRDefault="008910CC">
      <w:pPr>
        <w:spacing w:after="1776" w:line="265" w:lineRule="auto"/>
        <w:ind w:right="-15"/>
        <w:jc w:val="right"/>
      </w:pPr>
      <w:r>
        <w:rPr>
          <w:i w:val="0"/>
          <w:sz w:val="20"/>
        </w:rPr>
        <w:t>AAMC.001.005.0511</w:t>
      </w:r>
    </w:p>
    <w:p w14:paraId="7E3C97A6" w14:textId="77777777" w:rsidR="00821153" w:rsidRDefault="008910CC">
      <w:pPr>
        <w:pStyle w:val="Heading2"/>
        <w:ind w:left="1425" w:hanging="900"/>
      </w:pPr>
      <w:bookmarkStart w:id="7" w:name="_Toc23179"/>
      <w:r>
        <w:t xml:space="preserve">Risk Assessments </w:t>
      </w:r>
      <w:bookmarkEnd w:id="7"/>
    </w:p>
    <w:p w14:paraId="7592B296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7DA2B4A" w14:textId="77777777" w:rsidR="00821153" w:rsidRDefault="008910CC">
      <w:pPr>
        <w:ind w:left="-5" w:right="1606"/>
      </w:pPr>
      <w:r>
        <w:t xml:space="preserve">The following table lists the risk assessments that need to be attended to for a variety of reasons including: </w:t>
      </w:r>
    </w:p>
    <w:p w14:paraId="27BB8708" w14:textId="77777777" w:rsidR="00821153" w:rsidRDefault="008910CC">
      <w:pPr>
        <w:spacing w:after="40" w:line="259" w:lineRule="auto"/>
        <w:ind w:left="0" w:firstLine="0"/>
      </w:pPr>
      <w:r>
        <w:t xml:space="preserve"> </w:t>
      </w:r>
    </w:p>
    <w:p w14:paraId="60380CE1" w14:textId="77777777" w:rsidR="00821153" w:rsidRDefault="008910CC">
      <w:pPr>
        <w:numPr>
          <w:ilvl w:val="0"/>
          <w:numId w:val="4"/>
        </w:numPr>
        <w:ind w:right="1606" w:hanging="360"/>
      </w:pPr>
      <w:r>
        <w:lastRenderedPageBreak/>
        <w:t xml:space="preserve">No risk assessment could be </w:t>
      </w:r>
      <w:proofErr w:type="gramStart"/>
      <w:r>
        <w:t>found</w:t>
      </w:r>
      <w:proofErr w:type="gramEnd"/>
      <w:r>
        <w:t xml:space="preserve"> </w:t>
      </w:r>
    </w:p>
    <w:p w14:paraId="6152FECF" w14:textId="77777777" w:rsidR="00821153" w:rsidRDefault="008910CC">
      <w:pPr>
        <w:numPr>
          <w:ilvl w:val="0"/>
          <w:numId w:val="4"/>
        </w:numPr>
        <w:ind w:right="1606" w:hanging="360"/>
      </w:pPr>
      <w:r>
        <w:t xml:space="preserve">Overdue for review </w:t>
      </w:r>
    </w:p>
    <w:p w14:paraId="48063AB1" w14:textId="77777777" w:rsidR="00821153" w:rsidRDefault="008910CC">
      <w:pPr>
        <w:numPr>
          <w:ilvl w:val="0"/>
          <w:numId w:val="4"/>
        </w:numPr>
        <w:ind w:right="1606" w:hanging="360"/>
      </w:pPr>
      <w:r>
        <w:t xml:space="preserve">Inadequate cross section of the workforce </w:t>
      </w:r>
    </w:p>
    <w:p w14:paraId="32067CEE" w14:textId="77777777" w:rsidR="00821153" w:rsidRDefault="008910CC">
      <w:pPr>
        <w:numPr>
          <w:ilvl w:val="0"/>
          <w:numId w:val="4"/>
        </w:numPr>
        <w:ind w:right="1606" w:hanging="360"/>
      </w:pPr>
      <w:r>
        <w:t>Inadequate risk assessme</w:t>
      </w:r>
      <w:r>
        <w:t xml:space="preserve">nt </w:t>
      </w:r>
    </w:p>
    <w:p w14:paraId="3DF38E21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43A04F65" w14:textId="77777777" w:rsidR="00821153" w:rsidRDefault="008910CC">
      <w:pPr>
        <w:ind w:left="-5" w:right="1606"/>
      </w:pPr>
      <w:r>
        <w:t xml:space="preserve">Any required risk assessment </w:t>
      </w:r>
      <w:r>
        <w:rPr>
          <w:u w:val="single" w:color="000000"/>
        </w:rPr>
        <w:t>not listed</w:t>
      </w:r>
      <w:r>
        <w:t xml:space="preserve"> in the table below is deemed to be </w:t>
      </w:r>
      <w:r>
        <w:rPr>
          <w:u w:val="single" w:color="000000"/>
        </w:rPr>
        <w:t>acceptable</w:t>
      </w:r>
      <w:r>
        <w:t xml:space="preserve"> at the time of the audit.  Full details of all risk assessments can be found in the Audit </w:t>
      </w:r>
      <w:proofErr w:type="gramStart"/>
      <w:r>
        <w:t>Tool</w:t>
      </w:r>
      <w:proofErr w:type="gramEnd"/>
      <w:r>
        <w:t xml:space="preserve">  </w:t>
      </w:r>
    </w:p>
    <w:p w14:paraId="7812B380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007D1F3A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8750" w:type="dxa"/>
        <w:tblInd w:w="-4" w:type="dxa"/>
        <w:tblCellMar>
          <w:top w:w="10" w:type="dxa"/>
          <w:left w:w="104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208"/>
        <w:gridCol w:w="2759"/>
        <w:gridCol w:w="2006"/>
        <w:gridCol w:w="2777"/>
      </w:tblGrid>
      <w:tr w:rsidR="00821153" w14:paraId="604A1917" w14:textId="77777777">
        <w:trPr>
          <w:trHeight w:val="56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3B2EF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CMSHR </w:t>
            </w:r>
          </w:p>
          <w:p w14:paraId="039463E1" w14:textId="77777777" w:rsidR="00821153" w:rsidRDefault="008910CC">
            <w:pPr>
              <w:spacing w:line="259" w:lineRule="auto"/>
              <w:ind w:left="0" w:firstLine="0"/>
            </w:pPr>
            <w:r>
              <w:t xml:space="preserve">No.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860A3" w14:textId="77777777" w:rsidR="00821153" w:rsidRDefault="008910CC">
            <w:pPr>
              <w:spacing w:line="259" w:lineRule="auto"/>
              <w:ind w:left="6" w:firstLine="0"/>
            </w:pPr>
            <w:r>
              <w:t xml:space="preserve">Risk Assessment No.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04C5F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Risk Assessment </w:t>
            </w:r>
          </w:p>
          <w:p w14:paraId="0FEE956F" w14:textId="77777777" w:rsidR="00821153" w:rsidRDefault="008910CC">
            <w:pPr>
              <w:spacing w:line="259" w:lineRule="auto"/>
              <w:ind w:left="7" w:firstLine="0"/>
            </w:pPr>
            <w:r>
              <w:t xml:space="preserve">Title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4EE76A49" w14:textId="77777777" w:rsidR="00821153" w:rsidRDefault="008910CC">
            <w:pPr>
              <w:spacing w:after="4" w:line="259" w:lineRule="auto"/>
              <w:ind w:left="2" w:firstLine="0"/>
            </w:pPr>
            <w:r>
              <w:t xml:space="preserve">Action Required </w:t>
            </w:r>
          </w:p>
          <w:p w14:paraId="1EE55DBF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821153" w14:paraId="7AFAC0C0" w14:textId="77777777">
        <w:trPr>
          <w:trHeight w:val="252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3BF" w14:textId="77777777" w:rsidR="00821153" w:rsidRDefault="008910CC">
            <w:pPr>
              <w:spacing w:line="259" w:lineRule="auto"/>
              <w:ind w:left="0" w:firstLine="0"/>
            </w:pPr>
            <w:r>
              <w:t xml:space="preserve">56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870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RA.GTM.031 </w:t>
            </w:r>
          </w:p>
          <w:p w14:paraId="7683D769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879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“Hazardous </w:t>
            </w:r>
          </w:p>
          <w:p w14:paraId="04DC6138" w14:textId="77777777" w:rsidR="00821153" w:rsidRDefault="008910CC">
            <w:pPr>
              <w:spacing w:line="259" w:lineRule="auto"/>
              <w:ind w:left="7" w:firstLine="0"/>
            </w:pPr>
            <w:r>
              <w:t xml:space="preserve">Substances”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A4ADB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Risk </w:t>
            </w:r>
          </w:p>
          <w:p w14:paraId="75667F29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Assessment “Hazardous </w:t>
            </w:r>
          </w:p>
          <w:p w14:paraId="78292C4C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Substances” </w:t>
            </w:r>
          </w:p>
          <w:p w14:paraId="5E9548BB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20142825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RA.GTM.031 </w:t>
            </w:r>
          </w:p>
          <w:p w14:paraId="4054D0BC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10D8861B" w14:textId="77777777" w:rsidR="00821153" w:rsidRPr="00C7321D" w:rsidRDefault="008910CC">
            <w:pPr>
              <w:spacing w:line="263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17/7/2014 – Overdue for review </w:t>
            </w:r>
          </w:p>
          <w:p w14:paraId="5D9D6A10" w14:textId="77777777" w:rsidR="00821153" w:rsidRPr="00C7321D" w:rsidRDefault="008910CC">
            <w:pPr>
              <w:spacing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0AF7B8C7" w14:textId="77777777">
        <w:trPr>
          <w:trHeight w:val="252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76E5" w14:textId="77777777" w:rsidR="00821153" w:rsidRDefault="008910CC">
            <w:pPr>
              <w:spacing w:line="259" w:lineRule="auto"/>
              <w:ind w:left="0" w:firstLine="0"/>
            </w:pPr>
            <w:r>
              <w:t xml:space="preserve">94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D76" w14:textId="77777777" w:rsidR="00821153" w:rsidRDefault="008910CC">
            <w:pPr>
              <w:spacing w:after="4" w:line="259" w:lineRule="auto"/>
              <w:ind w:left="6" w:firstLine="0"/>
            </w:pPr>
            <w:proofErr w:type="gramStart"/>
            <w:r>
              <w:t>RA.UGGT</w:t>
            </w:r>
            <w:proofErr w:type="gramEnd"/>
            <w:r>
              <w:t xml:space="preserve">.852.1 </w:t>
            </w:r>
          </w:p>
          <w:p w14:paraId="6D74792B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FE5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“Checking and </w:t>
            </w:r>
          </w:p>
          <w:p w14:paraId="07C09A67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Examining Work </w:t>
            </w:r>
          </w:p>
          <w:p w14:paraId="02F01C77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Areas” </w:t>
            </w:r>
          </w:p>
          <w:p w14:paraId="5080B9CD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64CCA2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Conduct risk </w:t>
            </w:r>
            <w:proofErr w:type="gramStart"/>
            <w:r w:rsidRPr="00C7321D">
              <w:rPr>
                <w:highlight w:val="yellow"/>
              </w:rPr>
              <w:t>assessment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370B478E" w14:textId="77777777" w:rsidR="00821153" w:rsidRPr="00C7321D" w:rsidRDefault="008910CC">
            <w:pPr>
              <w:spacing w:after="4" w:line="259" w:lineRule="auto"/>
              <w:ind w:left="2" w:firstLine="0"/>
              <w:jc w:val="both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“Checking and </w:t>
            </w:r>
            <w:proofErr w:type="gramStart"/>
            <w:r w:rsidRPr="00C7321D">
              <w:rPr>
                <w:highlight w:val="yellow"/>
              </w:rPr>
              <w:t>Examining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46C4F138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Work Areas” </w:t>
            </w:r>
          </w:p>
          <w:p w14:paraId="0C66DAFF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60EC2075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proofErr w:type="gramStart"/>
            <w:r w:rsidRPr="00C7321D">
              <w:rPr>
                <w:highlight w:val="yellow"/>
              </w:rPr>
              <w:t>RA.UGGT</w:t>
            </w:r>
            <w:proofErr w:type="gramEnd"/>
            <w:r w:rsidRPr="00C7321D">
              <w:rPr>
                <w:highlight w:val="yellow"/>
              </w:rPr>
              <w:t xml:space="preserve">.852.1 </w:t>
            </w:r>
          </w:p>
          <w:p w14:paraId="5DA60EB4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468F064D" w14:textId="77777777" w:rsidR="00821153" w:rsidRPr="00C7321D" w:rsidRDefault="008910CC">
            <w:pPr>
              <w:spacing w:line="263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19/7/2012 – overdue for review </w:t>
            </w:r>
          </w:p>
          <w:p w14:paraId="77F19BED" w14:textId="77777777" w:rsidR="00821153" w:rsidRPr="00C7321D" w:rsidRDefault="008910CC">
            <w:pPr>
              <w:spacing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37CF7AB4" w14:textId="77777777">
        <w:trPr>
          <w:trHeight w:val="279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7080" w14:textId="77777777" w:rsidR="00821153" w:rsidRDefault="008910CC">
            <w:pPr>
              <w:spacing w:line="259" w:lineRule="auto"/>
              <w:ind w:left="0" w:firstLine="0"/>
            </w:pPr>
            <w:r>
              <w:t>96(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BFE9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0637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“Controlling </w:t>
            </w:r>
          </w:p>
          <w:p w14:paraId="6BAE4B23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Access to and </w:t>
            </w:r>
          </w:p>
          <w:p w14:paraId="188571C8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Working in </w:t>
            </w:r>
          </w:p>
          <w:p w14:paraId="526AC711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Confined Spaces” </w:t>
            </w:r>
          </w:p>
          <w:p w14:paraId="6563C6F8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D4F23C" w14:textId="77777777" w:rsidR="00821153" w:rsidRPr="00C7321D" w:rsidRDefault="008910CC">
            <w:pPr>
              <w:spacing w:line="263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Conduct risk assessment for “Controlling Access to and Working in Confined </w:t>
            </w:r>
          </w:p>
          <w:p w14:paraId="675DAEFA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Spaces” </w:t>
            </w:r>
          </w:p>
          <w:p w14:paraId="100E9C18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1B86EE15" w14:textId="77777777" w:rsidR="00821153" w:rsidRPr="00C7321D" w:rsidRDefault="008910CC">
            <w:pPr>
              <w:spacing w:line="263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No evidence of risk assessment could </w:t>
            </w:r>
            <w:proofErr w:type="gramStart"/>
            <w:r w:rsidRPr="00C7321D">
              <w:rPr>
                <w:highlight w:val="yellow"/>
              </w:rPr>
              <w:t>be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2268594C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found on </w:t>
            </w:r>
            <w:proofErr w:type="gramStart"/>
            <w:r w:rsidRPr="00C7321D">
              <w:rPr>
                <w:highlight w:val="yellow"/>
              </w:rPr>
              <w:t>SharePoint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18367EE5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7DAED933" w14:textId="77777777" w:rsidR="00821153" w:rsidRPr="00C7321D" w:rsidRDefault="008910CC">
            <w:pPr>
              <w:spacing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Management Plan does </w:t>
            </w:r>
          </w:p>
        </w:tc>
      </w:tr>
    </w:tbl>
    <w:p w14:paraId="2DA32AED" w14:textId="77777777" w:rsidR="00821153" w:rsidRDefault="008910CC">
      <w:pPr>
        <w:spacing w:after="1240" w:line="259" w:lineRule="auto"/>
        <w:ind w:left="8416" w:right="-15"/>
      </w:pPr>
      <w:r>
        <w:rPr>
          <w:i w:val="0"/>
          <w:sz w:val="20"/>
        </w:rPr>
        <w:t>AAMC.001.005.0512</w:t>
      </w:r>
    </w:p>
    <w:tbl>
      <w:tblPr>
        <w:tblStyle w:val="TableGrid"/>
        <w:tblW w:w="8750" w:type="dxa"/>
        <w:tblInd w:w="-4" w:type="dxa"/>
        <w:tblCellMar>
          <w:top w:w="10" w:type="dxa"/>
          <w:left w:w="9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195"/>
        <w:gridCol w:w="2772"/>
        <w:gridCol w:w="2021"/>
        <w:gridCol w:w="2762"/>
      </w:tblGrid>
      <w:tr w:rsidR="00821153" w14:paraId="1B262F2B" w14:textId="77777777">
        <w:trPr>
          <w:trHeight w:val="56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29046" w14:textId="77777777" w:rsidR="00821153" w:rsidRDefault="008910CC">
            <w:pPr>
              <w:spacing w:after="4" w:line="259" w:lineRule="auto"/>
              <w:ind w:left="14" w:firstLine="0"/>
            </w:pPr>
            <w:r>
              <w:t xml:space="preserve">CMSHR </w:t>
            </w:r>
          </w:p>
          <w:p w14:paraId="4855C6E3" w14:textId="77777777" w:rsidR="00821153" w:rsidRDefault="008910CC">
            <w:pPr>
              <w:spacing w:line="259" w:lineRule="auto"/>
              <w:ind w:left="14" w:firstLine="0"/>
            </w:pPr>
            <w:r>
              <w:t xml:space="preserve">No.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BDD2A" w14:textId="77777777" w:rsidR="00821153" w:rsidRDefault="008910CC">
            <w:pPr>
              <w:spacing w:line="259" w:lineRule="auto"/>
              <w:ind w:left="34" w:firstLine="0"/>
            </w:pPr>
            <w:r>
              <w:t xml:space="preserve">Risk Assessment No.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060E9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Risk Assessment </w:t>
            </w:r>
          </w:p>
          <w:p w14:paraId="34329D84" w14:textId="77777777" w:rsidR="00821153" w:rsidRDefault="008910CC">
            <w:pPr>
              <w:spacing w:line="259" w:lineRule="auto"/>
              <w:ind w:left="22" w:firstLine="0"/>
            </w:pPr>
            <w:r>
              <w:t xml:space="preserve">Title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14D1A6C0" w14:textId="77777777" w:rsidR="00821153" w:rsidRDefault="008910CC">
            <w:pPr>
              <w:spacing w:after="4" w:line="259" w:lineRule="auto"/>
              <w:ind w:left="2" w:firstLine="0"/>
            </w:pPr>
            <w:r>
              <w:t xml:space="preserve">Action Required </w:t>
            </w:r>
          </w:p>
          <w:p w14:paraId="49F6C667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821153" w14:paraId="55C98A04" w14:textId="77777777">
        <w:trPr>
          <w:trHeight w:val="112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E9E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FD80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9FD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81DBB" w14:textId="77777777" w:rsidR="00821153" w:rsidRDefault="008910CC">
            <w:pPr>
              <w:spacing w:line="263" w:lineRule="auto"/>
              <w:ind w:left="2" w:firstLine="0"/>
            </w:pPr>
            <w:r>
              <w:rPr>
                <w:u w:val="single" w:color="000000"/>
              </w:rPr>
              <w:t>not</w:t>
            </w:r>
            <w:r>
              <w:t xml:space="preserve"> state document number of </w:t>
            </w:r>
            <w:proofErr w:type="gramStart"/>
            <w:r>
              <w:t>risk</w:t>
            </w:r>
            <w:proofErr w:type="gramEnd"/>
            <w:r>
              <w:t xml:space="preserve"> </w:t>
            </w:r>
          </w:p>
          <w:p w14:paraId="56095B49" w14:textId="77777777" w:rsidR="00821153" w:rsidRDefault="008910CC">
            <w:pPr>
              <w:spacing w:after="4" w:line="259" w:lineRule="auto"/>
              <w:ind w:left="2" w:firstLine="0"/>
            </w:pPr>
            <w:r>
              <w:t xml:space="preserve">assessment </w:t>
            </w:r>
          </w:p>
          <w:p w14:paraId="3FFFDCE1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821153" w14:paraId="154943C4" w14:textId="77777777">
        <w:trPr>
          <w:trHeight w:val="196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2F8" w14:textId="77777777" w:rsidR="00821153" w:rsidRDefault="008910CC">
            <w:pPr>
              <w:spacing w:line="259" w:lineRule="auto"/>
              <w:ind w:left="14" w:firstLine="0"/>
            </w:pPr>
            <w:r>
              <w:t xml:space="preserve">96(ii)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13EE" w14:textId="77777777" w:rsidR="00821153" w:rsidRDefault="008910CC">
            <w:pPr>
              <w:spacing w:after="4" w:line="259" w:lineRule="auto"/>
              <w:ind w:left="34" w:firstLine="0"/>
            </w:pPr>
            <w:proofErr w:type="gramStart"/>
            <w:r>
              <w:t>RA.UGGT</w:t>
            </w:r>
            <w:proofErr w:type="gramEnd"/>
            <w:r>
              <w:t xml:space="preserve">.096(b).1 </w:t>
            </w:r>
          </w:p>
          <w:p w14:paraId="01B05127" w14:textId="77777777" w:rsidR="00821153" w:rsidRDefault="008910CC">
            <w:pPr>
              <w:spacing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7C7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“Manual </w:t>
            </w:r>
          </w:p>
          <w:p w14:paraId="2205497E" w14:textId="77777777" w:rsidR="00821153" w:rsidRDefault="008910CC">
            <w:pPr>
              <w:spacing w:line="259" w:lineRule="auto"/>
              <w:ind w:left="22" w:firstLine="0"/>
            </w:pPr>
            <w:r>
              <w:t xml:space="preserve">Handling”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13C58" w14:textId="77777777" w:rsidR="00821153" w:rsidRPr="00C7321D" w:rsidRDefault="008910CC">
            <w:pPr>
              <w:spacing w:line="263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Conduct risk assessment for “Manual Handling” </w:t>
            </w:r>
            <w:proofErr w:type="gramStart"/>
            <w:r w:rsidRPr="00C7321D">
              <w:rPr>
                <w:highlight w:val="yellow"/>
              </w:rPr>
              <w:t>RA.UGGT</w:t>
            </w:r>
            <w:proofErr w:type="gramEnd"/>
            <w:r w:rsidRPr="00C7321D">
              <w:rPr>
                <w:highlight w:val="yellow"/>
              </w:rPr>
              <w:t xml:space="preserve">.096(b).1 - </w:t>
            </w:r>
          </w:p>
          <w:p w14:paraId="3ED4C014" w14:textId="77777777" w:rsidR="00821153" w:rsidRPr="00C7321D" w:rsidRDefault="008910CC">
            <w:pPr>
              <w:spacing w:after="4" w:line="259" w:lineRule="auto"/>
              <w:ind w:left="2" w:firstLine="0"/>
              <w:jc w:val="both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1/12/2012 as it is </w:t>
            </w:r>
            <w:proofErr w:type="gramStart"/>
            <w:r w:rsidRPr="00C7321D">
              <w:rPr>
                <w:highlight w:val="yellow"/>
              </w:rPr>
              <w:t>overdue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02D99D61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71774B1B" w14:textId="77777777" w:rsidR="00821153" w:rsidRPr="00C7321D" w:rsidRDefault="008910CC">
            <w:pPr>
              <w:spacing w:after="4"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088945D9" w14:textId="77777777" w:rsidR="00821153" w:rsidRPr="00C7321D" w:rsidRDefault="008910CC">
            <w:pPr>
              <w:spacing w:line="259" w:lineRule="auto"/>
              <w:ind w:left="2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29991A12" w14:textId="77777777">
        <w:trPr>
          <w:trHeight w:val="168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76F1" w14:textId="77777777" w:rsidR="00821153" w:rsidRDefault="008910CC">
            <w:pPr>
              <w:spacing w:line="259" w:lineRule="auto"/>
              <w:ind w:left="14" w:firstLine="0"/>
            </w:pPr>
            <w:r>
              <w:t>96(</w:t>
            </w:r>
            <w:r>
              <w:t xml:space="preserve">c)(ii)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D2FF" w14:textId="77777777" w:rsidR="00821153" w:rsidRDefault="008910CC">
            <w:pPr>
              <w:spacing w:after="4" w:line="259" w:lineRule="auto"/>
              <w:ind w:left="0" w:firstLine="0"/>
            </w:pPr>
            <w:proofErr w:type="gramStart"/>
            <w:r>
              <w:t>RA.UGGT</w:t>
            </w:r>
            <w:proofErr w:type="gramEnd"/>
            <w:r>
              <w:t xml:space="preserve">.096(c)(ii) </w:t>
            </w:r>
          </w:p>
          <w:p w14:paraId="2DEF3324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FE3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“Hot Work” </w:t>
            </w:r>
          </w:p>
          <w:p w14:paraId="592D8010" w14:textId="77777777" w:rsidR="00821153" w:rsidRDefault="008910CC">
            <w:pPr>
              <w:spacing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D588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risk assessment “Hot Work” - </w:t>
            </w:r>
            <w:proofErr w:type="gramStart"/>
            <w:r w:rsidRPr="00C7321D">
              <w:rPr>
                <w:highlight w:val="yellow"/>
              </w:rPr>
              <w:t>RA.UGGT</w:t>
            </w:r>
            <w:proofErr w:type="gramEnd"/>
            <w:r w:rsidRPr="00C7321D">
              <w:rPr>
                <w:highlight w:val="yellow"/>
              </w:rPr>
              <w:t xml:space="preserve">.096(c)(ii) 17/6/2010 – overdue for review </w:t>
            </w:r>
          </w:p>
          <w:p w14:paraId="528A9593" w14:textId="77777777" w:rsidR="00821153" w:rsidRPr="00C7321D" w:rsidRDefault="008910CC">
            <w:pPr>
              <w:spacing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726FFC48" w14:textId="77777777">
        <w:trPr>
          <w:trHeight w:val="195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ED11" w14:textId="77777777" w:rsidR="00821153" w:rsidRDefault="008910CC">
            <w:pPr>
              <w:spacing w:line="259" w:lineRule="auto"/>
              <w:ind w:left="14" w:firstLine="0"/>
            </w:pPr>
            <w:r>
              <w:t xml:space="preserve">149(c)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9EC9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RA.PHMP.GTM.005.3 </w:t>
            </w:r>
          </w:p>
          <w:p w14:paraId="09D0575F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C87" w14:textId="77777777" w:rsidR="00821153" w:rsidRDefault="008910CC">
            <w:pPr>
              <w:spacing w:line="259" w:lineRule="auto"/>
              <w:ind w:left="22" w:firstLine="0"/>
            </w:pPr>
            <w:r>
              <w:t xml:space="preserve">“Methane Drainage”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68A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risk assessment “Methane </w:t>
            </w:r>
          </w:p>
          <w:p w14:paraId="06DFA1A0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Drainage” - </w:t>
            </w:r>
          </w:p>
          <w:p w14:paraId="4C482368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RA.PHMP.GTM.005.3 - 25/8/2012 – overdue for review </w:t>
            </w:r>
          </w:p>
          <w:p w14:paraId="06833409" w14:textId="77777777" w:rsidR="00821153" w:rsidRPr="00C7321D" w:rsidRDefault="008910CC">
            <w:pPr>
              <w:spacing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359246D1" w14:textId="77777777">
        <w:trPr>
          <w:trHeight w:val="22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4D24" w14:textId="77777777" w:rsidR="00821153" w:rsidRDefault="008910CC">
            <w:pPr>
              <w:spacing w:line="259" w:lineRule="auto"/>
              <w:ind w:left="14" w:firstLine="0"/>
            </w:pPr>
            <w:r>
              <w:t xml:space="preserve">149(g)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901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RA.PHMP.GTM.007 </w:t>
            </w:r>
          </w:p>
          <w:p w14:paraId="63C7668E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4274" w14:textId="77777777" w:rsidR="00821153" w:rsidRDefault="008910CC">
            <w:pPr>
              <w:spacing w:line="259" w:lineRule="auto"/>
              <w:ind w:left="22" w:firstLine="0"/>
            </w:pPr>
            <w:r>
              <w:t xml:space="preserve">“Outburst”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596C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risk assessment “Outburst” </w:t>
            </w:r>
          </w:p>
          <w:p w14:paraId="1E1352B0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PHMP - </w:t>
            </w:r>
          </w:p>
          <w:p w14:paraId="6657E43B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RA.PHMP.GTM.007 - </w:t>
            </w:r>
          </w:p>
          <w:p w14:paraId="54DB9169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25/8/2012 – overdue </w:t>
            </w:r>
            <w:r w:rsidRPr="00C7321D">
              <w:rPr>
                <w:highlight w:val="yellow"/>
              </w:rPr>
              <w:t xml:space="preserve">for review </w:t>
            </w:r>
          </w:p>
          <w:p w14:paraId="06664B28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1D5DE120" w14:textId="77777777" w:rsidR="00821153" w:rsidRPr="00C7321D" w:rsidRDefault="008910CC">
            <w:pPr>
              <w:spacing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37EE17F9" w14:textId="77777777">
        <w:trPr>
          <w:trHeight w:val="251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90A0" w14:textId="77777777" w:rsidR="00821153" w:rsidRDefault="008910CC">
            <w:pPr>
              <w:spacing w:line="259" w:lineRule="auto"/>
              <w:ind w:left="14" w:firstLine="0"/>
            </w:pPr>
            <w:r>
              <w:t xml:space="preserve">221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15A7" w14:textId="77777777" w:rsidR="00821153" w:rsidRDefault="008910CC">
            <w:pPr>
              <w:spacing w:after="4" w:line="259" w:lineRule="auto"/>
              <w:ind w:left="0" w:firstLine="0"/>
            </w:pPr>
            <w:proofErr w:type="gramStart"/>
            <w:r>
              <w:t>RA.UGGT</w:t>
            </w:r>
            <w:proofErr w:type="gramEnd"/>
            <w:r>
              <w:t xml:space="preserve">.134 </w:t>
            </w:r>
          </w:p>
          <w:p w14:paraId="3A0B851B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23B0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“Use of </w:t>
            </w:r>
            <w:proofErr w:type="gramStart"/>
            <w:r>
              <w:t>Explosive</w:t>
            </w:r>
            <w:proofErr w:type="gramEnd"/>
            <w:r>
              <w:t xml:space="preserve"> </w:t>
            </w:r>
          </w:p>
          <w:p w14:paraId="3EAC10B2" w14:textId="77777777" w:rsidR="00821153" w:rsidRDefault="008910CC">
            <w:pPr>
              <w:spacing w:line="259" w:lineRule="auto"/>
              <w:ind w:left="22" w:firstLine="0"/>
            </w:pPr>
            <w:r>
              <w:t xml:space="preserve">Power Tools”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CDF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risk assessment “Use of Explosive Power </w:t>
            </w:r>
            <w:proofErr w:type="gramStart"/>
            <w:r w:rsidRPr="00C7321D">
              <w:rPr>
                <w:highlight w:val="yellow"/>
              </w:rPr>
              <w:t>Tools”</w:t>
            </w:r>
            <w:proofErr w:type="gramEnd"/>
            <w:r w:rsidRPr="00C7321D">
              <w:rPr>
                <w:highlight w:val="yellow"/>
              </w:rPr>
              <w:t xml:space="preserve">  </w:t>
            </w:r>
          </w:p>
          <w:p w14:paraId="043CB98C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proofErr w:type="gramStart"/>
            <w:r w:rsidRPr="00C7321D">
              <w:rPr>
                <w:highlight w:val="yellow"/>
              </w:rPr>
              <w:t>RA.UGGT</w:t>
            </w:r>
            <w:proofErr w:type="gramEnd"/>
            <w:r w:rsidRPr="00C7321D">
              <w:rPr>
                <w:highlight w:val="yellow"/>
              </w:rPr>
              <w:t xml:space="preserve">.134 </w:t>
            </w:r>
          </w:p>
          <w:p w14:paraId="28A6DDDE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249A555B" w14:textId="77777777" w:rsidR="00821153" w:rsidRPr="00C7321D" w:rsidRDefault="008910CC">
            <w:pPr>
              <w:spacing w:line="263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15/6/2010 – overdue for review </w:t>
            </w:r>
          </w:p>
          <w:p w14:paraId="4FC95761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7A29FD7A" w14:textId="77777777" w:rsidR="00821153" w:rsidRPr="00C7321D" w:rsidRDefault="008910CC">
            <w:pPr>
              <w:spacing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4B194F79" w14:textId="77777777">
        <w:trPr>
          <w:trHeight w:val="84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7F9A" w14:textId="77777777" w:rsidR="00821153" w:rsidRDefault="008910CC">
            <w:pPr>
              <w:spacing w:line="259" w:lineRule="auto"/>
              <w:ind w:left="14" w:firstLine="0"/>
            </w:pPr>
            <w:r>
              <w:t xml:space="preserve">299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101C" w14:textId="77777777" w:rsidR="00821153" w:rsidRDefault="008910CC">
            <w:pPr>
              <w:spacing w:after="4" w:line="259" w:lineRule="auto"/>
              <w:ind w:left="0" w:firstLine="0"/>
            </w:pPr>
            <w:proofErr w:type="gramStart"/>
            <w:r>
              <w:t>RA.UGGT</w:t>
            </w:r>
            <w:proofErr w:type="gramEnd"/>
            <w:r>
              <w:t xml:space="preserve">.299 </w:t>
            </w:r>
          </w:p>
          <w:p w14:paraId="15DCE1DC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66AC" w14:textId="77777777" w:rsidR="00821153" w:rsidRDefault="008910CC">
            <w:pPr>
              <w:spacing w:line="259" w:lineRule="auto"/>
              <w:ind w:left="22" w:firstLine="0"/>
            </w:pPr>
            <w:r>
              <w:t>“</w:t>
            </w:r>
            <w:r>
              <w:t xml:space="preserve">Safety of Persons when only one Escapeway is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C5B3" w14:textId="77777777" w:rsidR="00821153" w:rsidRDefault="008910CC">
            <w:pPr>
              <w:spacing w:line="259" w:lineRule="auto"/>
              <w:ind w:left="31" w:firstLine="0"/>
            </w:pPr>
            <w:r>
              <w:t xml:space="preserve">Review and update risk assessment “Safety of Persons when only one </w:t>
            </w:r>
          </w:p>
        </w:tc>
      </w:tr>
    </w:tbl>
    <w:p w14:paraId="250AC0EE" w14:textId="77777777" w:rsidR="00821153" w:rsidRDefault="008910CC">
      <w:pPr>
        <w:spacing w:after="1235" w:line="265" w:lineRule="auto"/>
        <w:ind w:right="-15"/>
        <w:jc w:val="right"/>
      </w:pPr>
      <w:r>
        <w:rPr>
          <w:i w:val="0"/>
          <w:sz w:val="20"/>
        </w:rPr>
        <w:t>AAMC.001.005.0513</w:t>
      </w:r>
    </w:p>
    <w:tbl>
      <w:tblPr>
        <w:tblStyle w:val="TableGrid"/>
        <w:tblW w:w="8750" w:type="dxa"/>
        <w:tblInd w:w="-4" w:type="dxa"/>
        <w:tblCellMar>
          <w:top w:w="10" w:type="dxa"/>
          <w:left w:w="9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95"/>
        <w:gridCol w:w="2772"/>
        <w:gridCol w:w="2021"/>
        <w:gridCol w:w="2762"/>
      </w:tblGrid>
      <w:tr w:rsidR="00821153" w14:paraId="4B3DBC89" w14:textId="77777777">
        <w:trPr>
          <w:trHeight w:val="56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83A7C" w14:textId="77777777" w:rsidR="00821153" w:rsidRDefault="008910CC">
            <w:pPr>
              <w:spacing w:after="4" w:line="259" w:lineRule="auto"/>
              <w:ind w:left="14" w:firstLine="0"/>
            </w:pPr>
            <w:r>
              <w:lastRenderedPageBreak/>
              <w:t xml:space="preserve">CMSHR </w:t>
            </w:r>
          </w:p>
          <w:p w14:paraId="73088095" w14:textId="77777777" w:rsidR="00821153" w:rsidRDefault="008910CC">
            <w:pPr>
              <w:spacing w:line="259" w:lineRule="auto"/>
              <w:ind w:left="14" w:firstLine="0"/>
            </w:pPr>
            <w:r>
              <w:t xml:space="preserve">No.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9D6A8" w14:textId="77777777" w:rsidR="00821153" w:rsidRDefault="008910CC">
            <w:pPr>
              <w:spacing w:line="259" w:lineRule="auto"/>
              <w:ind w:left="34" w:firstLine="0"/>
            </w:pPr>
            <w:r>
              <w:t xml:space="preserve">Risk Assessment No.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CAEB1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Risk Assessment </w:t>
            </w:r>
          </w:p>
          <w:p w14:paraId="0BF696F8" w14:textId="77777777" w:rsidR="00821153" w:rsidRDefault="008910CC">
            <w:pPr>
              <w:spacing w:line="259" w:lineRule="auto"/>
              <w:ind w:left="22" w:firstLine="0"/>
            </w:pPr>
            <w:r>
              <w:t xml:space="preserve">Title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0E0A5355" w14:textId="77777777" w:rsidR="00821153" w:rsidRDefault="008910CC">
            <w:pPr>
              <w:spacing w:after="4" w:line="259" w:lineRule="auto"/>
              <w:ind w:left="2" w:firstLine="0"/>
            </w:pPr>
            <w:r>
              <w:t xml:space="preserve">Action Required </w:t>
            </w:r>
          </w:p>
          <w:p w14:paraId="3D2B8FF0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821153" w14:paraId="0841B121" w14:textId="77777777">
        <w:trPr>
          <w:trHeight w:val="224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9F26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444D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3376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available for use” </w:t>
            </w:r>
          </w:p>
          <w:p w14:paraId="7D2C0882" w14:textId="77777777" w:rsidR="00821153" w:rsidRDefault="008910CC">
            <w:pPr>
              <w:spacing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70D8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Escapeway is </w:t>
            </w:r>
            <w:proofErr w:type="gramStart"/>
            <w:r w:rsidRPr="00C7321D">
              <w:rPr>
                <w:highlight w:val="yellow"/>
              </w:rPr>
              <w:t>available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0BA8CDA3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for use” </w:t>
            </w:r>
          </w:p>
          <w:p w14:paraId="65E59E69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34FB04D3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proofErr w:type="gramStart"/>
            <w:r w:rsidRPr="00C7321D">
              <w:rPr>
                <w:highlight w:val="yellow"/>
              </w:rPr>
              <w:t>RA.UGGT</w:t>
            </w:r>
            <w:proofErr w:type="gramEnd"/>
            <w:r w:rsidRPr="00C7321D">
              <w:rPr>
                <w:highlight w:val="yellow"/>
              </w:rPr>
              <w:t xml:space="preserve">.299 </w:t>
            </w:r>
          </w:p>
          <w:p w14:paraId="1CF4F4F6" w14:textId="77777777" w:rsidR="00821153" w:rsidRPr="00C7321D" w:rsidRDefault="008910CC">
            <w:pPr>
              <w:spacing w:after="4" w:line="259" w:lineRule="auto"/>
              <w:ind w:left="31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7C6640D4" w14:textId="77777777" w:rsidR="00821153" w:rsidRDefault="008910CC">
            <w:pPr>
              <w:spacing w:line="263" w:lineRule="auto"/>
              <w:ind w:left="31" w:firstLine="0"/>
            </w:pPr>
            <w:r w:rsidRPr="00C7321D">
              <w:rPr>
                <w:highlight w:val="yellow"/>
              </w:rPr>
              <w:t>As it overdue for review - 4/7/2012</w:t>
            </w:r>
            <w:r>
              <w:t xml:space="preserve"> </w:t>
            </w:r>
          </w:p>
          <w:p w14:paraId="79D1FF72" w14:textId="77777777" w:rsidR="00821153" w:rsidRDefault="008910CC">
            <w:pPr>
              <w:spacing w:line="259" w:lineRule="auto"/>
              <w:ind w:left="31" w:firstLine="0"/>
            </w:pPr>
            <w:r>
              <w:t xml:space="preserve"> </w:t>
            </w:r>
          </w:p>
        </w:tc>
      </w:tr>
      <w:tr w:rsidR="00821153" w14:paraId="229F06CA" w14:textId="77777777">
        <w:trPr>
          <w:trHeight w:val="251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414" w14:textId="77777777" w:rsidR="00821153" w:rsidRDefault="008910CC">
            <w:pPr>
              <w:spacing w:line="259" w:lineRule="auto"/>
              <w:ind w:left="14" w:firstLine="0"/>
            </w:pPr>
            <w:r>
              <w:t xml:space="preserve">323(3)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A9BC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C4E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“Installing Strata </w:t>
            </w:r>
          </w:p>
          <w:p w14:paraId="6E7BC8FE" w14:textId="77777777" w:rsidR="00821153" w:rsidRDefault="008910CC">
            <w:pPr>
              <w:spacing w:after="4" w:line="259" w:lineRule="auto"/>
              <w:ind w:left="22" w:firstLine="0"/>
            </w:pPr>
            <w:r>
              <w:t xml:space="preserve">Support” </w:t>
            </w:r>
          </w:p>
          <w:p w14:paraId="1DDA9C01" w14:textId="77777777" w:rsidR="00821153" w:rsidRDefault="008910CC">
            <w:pPr>
              <w:spacing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A335" w14:textId="77777777" w:rsidR="00821153" w:rsidRDefault="008910CC">
            <w:pPr>
              <w:spacing w:line="263" w:lineRule="auto"/>
              <w:ind w:left="31" w:firstLine="0"/>
            </w:pPr>
            <w:r>
              <w:t xml:space="preserve">Locate or conduct risk assessment for </w:t>
            </w:r>
            <w:proofErr w:type="gramStart"/>
            <w:r>
              <w:t>SOP</w:t>
            </w:r>
            <w:proofErr w:type="gramEnd"/>
            <w:r>
              <w:t xml:space="preserve"> </w:t>
            </w:r>
          </w:p>
          <w:p w14:paraId="15452816" w14:textId="77777777" w:rsidR="00821153" w:rsidRDefault="008910CC">
            <w:pPr>
              <w:spacing w:after="4" w:line="259" w:lineRule="auto"/>
              <w:ind w:left="31" w:firstLine="0"/>
            </w:pPr>
            <w:r>
              <w:t xml:space="preserve">“Installing Strata </w:t>
            </w:r>
            <w:proofErr w:type="gramStart"/>
            <w:r>
              <w:t>Support”</w:t>
            </w:r>
            <w:proofErr w:type="gramEnd"/>
            <w:r>
              <w:t xml:space="preserve">  </w:t>
            </w:r>
          </w:p>
          <w:p w14:paraId="191F82D3" w14:textId="77777777" w:rsidR="00821153" w:rsidRDefault="008910CC">
            <w:pPr>
              <w:spacing w:after="4" w:line="259" w:lineRule="auto"/>
              <w:ind w:left="31" w:firstLine="0"/>
            </w:pPr>
            <w:r>
              <w:t xml:space="preserve"> </w:t>
            </w:r>
          </w:p>
          <w:p w14:paraId="68EAA048" w14:textId="77777777" w:rsidR="00821153" w:rsidRDefault="008910CC">
            <w:pPr>
              <w:spacing w:line="263" w:lineRule="auto"/>
              <w:ind w:left="31" w:firstLine="0"/>
            </w:pPr>
            <w:r>
              <w:t xml:space="preserve">Risk assessment is not referenced in SOP and cannot be found on </w:t>
            </w:r>
          </w:p>
          <w:p w14:paraId="0C13DCE0" w14:textId="77777777" w:rsidR="00821153" w:rsidRDefault="008910CC">
            <w:pPr>
              <w:spacing w:after="4" w:line="259" w:lineRule="auto"/>
              <w:ind w:left="31" w:firstLine="0"/>
            </w:pPr>
            <w:r>
              <w:t xml:space="preserve">SharePoint </w:t>
            </w:r>
          </w:p>
          <w:p w14:paraId="710D345F" w14:textId="77777777" w:rsidR="00821153" w:rsidRDefault="008910CC">
            <w:pPr>
              <w:spacing w:line="259" w:lineRule="auto"/>
              <w:ind w:left="31" w:firstLine="0"/>
            </w:pPr>
            <w:r>
              <w:t xml:space="preserve"> </w:t>
            </w:r>
          </w:p>
        </w:tc>
      </w:tr>
    </w:tbl>
    <w:p w14:paraId="49D44AF9" w14:textId="77777777" w:rsidR="00821153" w:rsidRDefault="008910CC">
      <w:pPr>
        <w:spacing w:after="302" w:line="259" w:lineRule="auto"/>
        <w:ind w:left="0" w:firstLine="0"/>
      </w:pPr>
      <w:r>
        <w:t xml:space="preserve"> </w:t>
      </w:r>
    </w:p>
    <w:p w14:paraId="704D1942" w14:textId="77777777" w:rsidR="00821153" w:rsidRDefault="008910CC">
      <w:pPr>
        <w:pStyle w:val="Heading2"/>
        <w:ind w:left="1425" w:hanging="900"/>
      </w:pPr>
      <w:bookmarkStart w:id="8" w:name="_Toc23180"/>
      <w:r>
        <w:t xml:space="preserve">Standard Operating Procedures – SOPs </w:t>
      </w:r>
      <w:bookmarkEnd w:id="8"/>
    </w:p>
    <w:p w14:paraId="58CEDAE8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2B0DFB5" w14:textId="77777777" w:rsidR="00821153" w:rsidRDefault="008910CC">
      <w:pPr>
        <w:ind w:left="-5" w:right="1606"/>
      </w:pPr>
      <w:r>
        <w:t xml:space="preserve">The following table lists the SOPs that need to be attended to for a variety of reasons including: </w:t>
      </w:r>
    </w:p>
    <w:p w14:paraId="2682EC09" w14:textId="77777777" w:rsidR="00821153" w:rsidRDefault="008910CC">
      <w:pPr>
        <w:spacing w:after="40" w:line="259" w:lineRule="auto"/>
        <w:ind w:left="0" w:firstLine="0"/>
      </w:pPr>
      <w:r>
        <w:t xml:space="preserve"> </w:t>
      </w:r>
    </w:p>
    <w:p w14:paraId="07A5E17A" w14:textId="77777777" w:rsidR="00821153" w:rsidRDefault="008910CC">
      <w:pPr>
        <w:numPr>
          <w:ilvl w:val="0"/>
          <w:numId w:val="5"/>
        </w:numPr>
        <w:ind w:right="1606" w:hanging="360"/>
      </w:pPr>
      <w:r>
        <w:t xml:space="preserve">No </w:t>
      </w:r>
      <w:r>
        <w:t xml:space="preserve">SOP could be </w:t>
      </w:r>
      <w:proofErr w:type="gramStart"/>
      <w:r>
        <w:t>found</w:t>
      </w:r>
      <w:proofErr w:type="gramEnd"/>
      <w:r>
        <w:t xml:space="preserve"> </w:t>
      </w:r>
    </w:p>
    <w:p w14:paraId="01C7AE63" w14:textId="77777777" w:rsidR="00821153" w:rsidRDefault="008910CC">
      <w:pPr>
        <w:numPr>
          <w:ilvl w:val="0"/>
          <w:numId w:val="5"/>
        </w:numPr>
        <w:ind w:right="1606" w:hanging="360"/>
      </w:pPr>
      <w:r>
        <w:t xml:space="preserve">Overdue for review </w:t>
      </w:r>
    </w:p>
    <w:p w14:paraId="6479ADC1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B0BC23F" w14:textId="77777777" w:rsidR="00821153" w:rsidRDefault="008910CC">
      <w:pPr>
        <w:ind w:left="-5" w:right="1606"/>
      </w:pPr>
      <w:r>
        <w:t xml:space="preserve">Any required SOP </w:t>
      </w:r>
      <w:r>
        <w:rPr>
          <w:u w:val="single" w:color="000000"/>
        </w:rPr>
        <w:t>not listed</w:t>
      </w:r>
      <w:r>
        <w:t xml:space="preserve"> in the table below is deemed to be </w:t>
      </w:r>
      <w:r>
        <w:rPr>
          <w:u w:val="single" w:color="000000"/>
        </w:rPr>
        <w:t>acceptable</w:t>
      </w:r>
      <w:r>
        <w:t xml:space="preserve"> at the time of the audit.  Full details of all SOPs can be found in the Audit </w:t>
      </w:r>
      <w:proofErr w:type="gramStart"/>
      <w:r>
        <w:t>Tool</w:t>
      </w:r>
      <w:proofErr w:type="gramEnd"/>
      <w:r>
        <w:t xml:space="preserve">  </w:t>
      </w:r>
    </w:p>
    <w:p w14:paraId="7D27C266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7959C940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8750" w:type="dxa"/>
        <w:tblInd w:w="-4" w:type="dxa"/>
        <w:tblCellMar>
          <w:top w:w="10" w:type="dxa"/>
          <w:left w:w="10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346"/>
        <w:gridCol w:w="2305"/>
        <w:gridCol w:w="2111"/>
        <w:gridCol w:w="2988"/>
      </w:tblGrid>
      <w:tr w:rsidR="00821153" w14:paraId="5A5454BB" w14:textId="77777777">
        <w:trPr>
          <w:trHeight w:val="8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A8262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CMSHR </w:t>
            </w:r>
          </w:p>
          <w:p w14:paraId="50B88CE4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No. </w:t>
            </w:r>
          </w:p>
          <w:p w14:paraId="5301F5DF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24D32" w14:textId="77777777" w:rsidR="00821153" w:rsidRDefault="008910CC">
            <w:pPr>
              <w:spacing w:line="259" w:lineRule="auto"/>
              <w:ind w:left="2" w:firstLine="0"/>
            </w:pPr>
            <w:r>
              <w:t xml:space="preserve">SOP No.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84131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SOP Title </w:t>
            </w:r>
          </w:p>
          <w:p w14:paraId="4309E053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EF9CBA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Action Required </w:t>
            </w:r>
          </w:p>
          <w:p w14:paraId="3F5C7DD6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  <w:tr w:rsidR="00821153" w14:paraId="0A5AD452" w14:textId="77777777">
        <w:trPr>
          <w:trHeight w:val="152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3698A" w14:textId="77777777" w:rsidR="00821153" w:rsidRDefault="008910CC">
            <w:pPr>
              <w:spacing w:line="259" w:lineRule="auto"/>
              <w:ind w:left="0" w:firstLine="0"/>
            </w:pPr>
            <w:r>
              <w:t xml:space="preserve">96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4CAA4" w14:textId="77777777" w:rsidR="00821153" w:rsidRDefault="008910CC">
            <w:pPr>
              <w:spacing w:after="4" w:line="259" w:lineRule="auto"/>
              <w:ind w:left="2" w:firstLine="0"/>
              <w:jc w:val="both"/>
            </w:pPr>
            <w:r>
              <w:t xml:space="preserve">SOP.UGGT.096(b).1 </w:t>
            </w:r>
          </w:p>
          <w:p w14:paraId="354EEAFE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9DDF4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“Manual Handling” </w:t>
            </w:r>
          </w:p>
          <w:p w14:paraId="3CE49EA6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9A72B4F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SOP </w:t>
            </w:r>
          </w:p>
          <w:p w14:paraId="0D3549D9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“Manual Handling” </w:t>
            </w:r>
          </w:p>
          <w:p w14:paraId="505EBCA2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SOP.UGGT.096(b).1 </w:t>
            </w:r>
          </w:p>
          <w:p w14:paraId="5D777289" w14:textId="77777777" w:rsidR="00821153" w:rsidRPr="00C7321D" w:rsidRDefault="008910CC">
            <w:pPr>
              <w:spacing w:line="263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1/12/2012 – overdue for review </w:t>
            </w:r>
          </w:p>
          <w:p w14:paraId="4A71C9E3" w14:textId="77777777" w:rsidR="00821153" w:rsidRPr="00C7321D" w:rsidRDefault="008910CC">
            <w:pPr>
              <w:spacing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  <w:tr w:rsidR="00821153" w14:paraId="2FC58DD5" w14:textId="77777777">
        <w:trPr>
          <w:trHeight w:val="984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012DF" w14:textId="77777777" w:rsidR="00821153" w:rsidRDefault="008910CC">
            <w:pPr>
              <w:spacing w:line="259" w:lineRule="auto"/>
              <w:ind w:left="0" w:firstLine="0"/>
              <w:jc w:val="both"/>
            </w:pPr>
            <w:r>
              <w:t xml:space="preserve">96 and 265 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0E0FD" w14:textId="77777777" w:rsidR="00821153" w:rsidRDefault="008910CC">
            <w:pPr>
              <w:spacing w:line="259" w:lineRule="auto"/>
              <w:ind w:left="2" w:firstLine="0"/>
              <w:jc w:val="both"/>
            </w:pPr>
            <w:r>
              <w:t xml:space="preserve">SOP.UGGT.096(c)(ii) 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33F391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“Conducting Hot </w:t>
            </w:r>
          </w:p>
          <w:p w14:paraId="59140194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Work </w:t>
            </w:r>
          </w:p>
          <w:p w14:paraId="6F8D6700" w14:textId="77777777" w:rsidR="00821153" w:rsidRDefault="008910CC">
            <w:pPr>
              <w:spacing w:line="259" w:lineRule="auto"/>
              <w:ind w:left="6" w:firstLine="0"/>
            </w:pPr>
            <w:r>
              <w:t xml:space="preserve">Underground” </w:t>
            </w:r>
          </w:p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B55BD8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SOP </w:t>
            </w:r>
          </w:p>
          <w:p w14:paraId="2E91363A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“Conducting Hot Work </w:t>
            </w:r>
          </w:p>
          <w:p w14:paraId="13DA10DC" w14:textId="77777777" w:rsidR="00821153" w:rsidRPr="00C7321D" w:rsidRDefault="008910CC">
            <w:pPr>
              <w:spacing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Underground” </w:t>
            </w:r>
          </w:p>
        </w:tc>
      </w:tr>
    </w:tbl>
    <w:p w14:paraId="48DEE9EA" w14:textId="77777777" w:rsidR="00821153" w:rsidRDefault="00821153">
      <w:pPr>
        <w:sectPr w:rsidR="00821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6252"/>
          <w:pgMar w:top="151" w:right="160" w:bottom="1493" w:left="1803" w:header="1130" w:footer="726" w:gutter="0"/>
          <w:cols w:space="720"/>
        </w:sectPr>
      </w:pPr>
    </w:p>
    <w:p w14:paraId="2AC07F11" w14:textId="77777777" w:rsidR="00821153" w:rsidRDefault="008910CC">
      <w:pPr>
        <w:spacing w:after="1235" w:line="265" w:lineRule="auto"/>
        <w:ind w:right="-15"/>
        <w:jc w:val="right"/>
      </w:pPr>
      <w:r>
        <w:rPr>
          <w:i w:val="0"/>
          <w:sz w:val="20"/>
        </w:rPr>
        <w:lastRenderedPageBreak/>
        <w:t>AAMC.001.005.0514</w:t>
      </w:r>
    </w:p>
    <w:tbl>
      <w:tblPr>
        <w:tblStyle w:val="TableGrid"/>
        <w:tblW w:w="8750" w:type="dxa"/>
        <w:tblInd w:w="-4" w:type="dxa"/>
        <w:tblCellMar>
          <w:top w:w="1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2305"/>
        <w:gridCol w:w="2111"/>
        <w:gridCol w:w="2988"/>
      </w:tblGrid>
      <w:tr w:rsidR="00821153" w14:paraId="6F3AA6B6" w14:textId="77777777">
        <w:trPr>
          <w:trHeight w:val="8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76679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CMSHR </w:t>
            </w:r>
          </w:p>
          <w:p w14:paraId="23830BBF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No. </w:t>
            </w:r>
          </w:p>
          <w:p w14:paraId="7566656A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D9B33" w14:textId="77777777" w:rsidR="00821153" w:rsidRDefault="008910CC">
            <w:pPr>
              <w:spacing w:line="259" w:lineRule="auto"/>
              <w:ind w:left="2" w:firstLine="0"/>
            </w:pPr>
            <w:r>
              <w:t xml:space="preserve">SOP No.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7F1EE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SOP Title </w:t>
            </w:r>
          </w:p>
          <w:p w14:paraId="431921C9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31EC32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Action Required </w:t>
            </w:r>
          </w:p>
          <w:p w14:paraId="343EFB47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  <w:tr w:rsidR="00821153" w14:paraId="64C1E304" w14:textId="77777777">
        <w:trPr>
          <w:trHeight w:val="112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A7EBE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D04C8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4A9E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460D9" w14:textId="77777777" w:rsidR="00821153" w:rsidRDefault="008910CC">
            <w:pPr>
              <w:spacing w:line="263" w:lineRule="auto"/>
              <w:ind w:left="7" w:firstLine="0"/>
            </w:pPr>
            <w:r>
              <w:t xml:space="preserve"> - </w:t>
            </w:r>
            <w:r w:rsidRPr="00C7321D">
              <w:rPr>
                <w:highlight w:val="yellow"/>
              </w:rPr>
              <w:t>SOP.UGGT.096(c)(ii) – 20/5/2014 – overdue for review</w:t>
            </w:r>
            <w:r>
              <w:t xml:space="preserve"> </w:t>
            </w:r>
          </w:p>
          <w:p w14:paraId="11542952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</w:tbl>
    <w:p w14:paraId="7D2EF215" w14:textId="77777777" w:rsidR="00821153" w:rsidRDefault="008910CC">
      <w:pPr>
        <w:spacing w:after="302" w:line="259" w:lineRule="auto"/>
        <w:ind w:left="0" w:firstLine="0"/>
      </w:pPr>
      <w:r>
        <w:t xml:space="preserve"> </w:t>
      </w:r>
    </w:p>
    <w:p w14:paraId="0D0A0379" w14:textId="77777777" w:rsidR="00821153" w:rsidRDefault="008910CC">
      <w:pPr>
        <w:pStyle w:val="Heading2"/>
        <w:ind w:left="1425" w:hanging="900"/>
      </w:pPr>
      <w:bookmarkStart w:id="9" w:name="_Toc23181"/>
      <w:r>
        <w:t xml:space="preserve">Other Procedures </w:t>
      </w:r>
      <w:bookmarkEnd w:id="9"/>
    </w:p>
    <w:p w14:paraId="5433E58A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65F9BBE4" w14:textId="77777777" w:rsidR="00821153" w:rsidRDefault="008910CC">
      <w:pPr>
        <w:ind w:left="-5" w:right="1606"/>
      </w:pPr>
      <w:r>
        <w:t xml:space="preserve">The following table lists the Procedures that need to be attended to for a variety of reasons including: </w:t>
      </w:r>
    </w:p>
    <w:p w14:paraId="38AA1516" w14:textId="77777777" w:rsidR="00821153" w:rsidRDefault="008910CC">
      <w:pPr>
        <w:spacing w:after="40" w:line="259" w:lineRule="auto"/>
        <w:ind w:left="0" w:firstLine="0"/>
      </w:pPr>
      <w:r>
        <w:t xml:space="preserve"> </w:t>
      </w:r>
    </w:p>
    <w:p w14:paraId="6FF7BF1C" w14:textId="77777777" w:rsidR="00821153" w:rsidRDefault="008910CC">
      <w:pPr>
        <w:numPr>
          <w:ilvl w:val="0"/>
          <w:numId w:val="6"/>
        </w:numPr>
        <w:ind w:right="1606" w:hanging="360"/>
      </w:pPr>
      <w:r>
        <w:t xml:space="preserve">No </w:t>
      </w:r>
      <w:r>
        <w:t xml:space="preserve">Procedure could be </w:t>
      </w:r>
      <w:proofErr w:type="gramStart"/>
      <w:r>
        <w:t>found</w:t>
      </w:r>
      <w:proofErr w:type="gramEnd"/>
      <w:r>
        <w:t xml:space="preserve"> </w:t>
      </w:r>
    </w:p>
    <w:p w14:paraId="0E6B9860" w14:textId="77777777" w:rsidR="00821153" w:rsidRDefault="008910CC">
      <w:pPr>
        <w:numPr>
          <w:ilvl w:val="0"/>
          <w:numId w:val="6"/>
        </w:numPr>
        <w:ind w:right="1606" w:hanging="360"/>
      </w:pPr>
      <w:r>
        <w:t xml:space="preserve">Overdue for review </w:t>
      </w:r>
    </w:p>
    <w:p w14:paraId="50C15073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233820C0" w14:textId="77777777" w:rsidR="00821153" w:rsidRDefault="008910CC">
      <w:pPr>
        <w:ind w:left="-5" w:right="1606"/>
      </w:pPr>
      <w:r>
        <w:t xml:space="preserve">Any required SOP </w:t>
      </w:r>
      <w:r>
        <w:rPr>
          <w:u w:val="single" w:color="000000"/>
        </w:rPr>
        <w:t>not listed</w:t>
      </w:r>
      <w:r>
        <w:t xml:space="preserve"> in the table below is deemed to be </w:t>
      </w:r>
      <w:r>
        <w:rPr>
          <w:u w:val="single" w:color="000000"/>
        </w:rPr>
        <w:t>acceptable</w:t>
      </w:r>
      <w:r>
        <w:t xml:space="preserve"> at the time of the audit.  Full details of all SOPs can be found in the Audit </w:t>
      </w:r>
      <w:proofErr w:type="gramStart"/>
      <w:r>
        <w:t>Tool</w:t>
      </w:r>
      <w:proofErr w:type="gramEnd"/>
      <w:r>
        <w:t xml:space="preserve">  </w:t>
      </w:r>
    </w:p>
    <w:p w14:paraId="3B4D187A" w14:textId="77777777" w:rsidR="00821153" w:rsidRDefault="008910CC">
      <w:pPr>
        <w:spacing w:after="4" w:line="259" w:lineRule="auto"/>
        <w:ind w:left="0" w:firstLine="0"/>
      </w:pPr>
      <w:r>
        <w:t xml:space="preserve"> </w:t>
      </w:r>
    </w:p>
    <w:p w14:paraId="17B0D90A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8750" w:type="dxa"/>
        <w:tblInd w:w="-4" w:type="dxa"/>
        <w:tblCellMar>
          <w:top w:w="10" w:type="dxa"/>
          <w:left w:w="104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346"/>
        <w:gridCol w:w="2305"/>
        <w:gridCol w:w="2111"/>
        <w:gridCol w:w="2988"/>
      </w:tblGrid>
      <w:tr w:rsidR="00821153" w14:paraId="2A47BCB2" w14:textId="77777777">
        <w:trPr>
          <w:trHeight w:val="8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30A81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CMSHR </w:t>
            </w:r>
          </w:p>
          <w:p w14:paraId="1C36E7B5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No. </w:t>
            </w:r>
          </w:p>
          <w:p w14:paraId="0163D383" w14:textId="77777777" w:rsidR="00821153" w:rsidRDefault="008910C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60A60" w14:textId="77777777" w:rsidR="00821153" w:rsidRDefault="008910CC">
            <w:pPr>
              <w:spacing w:line="259" w:lineRule="auto"/>
              <w:ind w:left="2" w:firstLine="0"/>
            </w:pPr>
            <w:r>
              <w:t xml:space="preserve">Procedure No.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8F125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Procedure Title </w:t>
            </w:r>
          </w:p>
          <w:p w14:paraId="01080FF5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8D2B1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Action Required </w:t>
            </w:r>
          </w:p>
          <w:p w14:paraId="43979BFB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  <w:tr w:rsidR="00821153" w14:paraId="1F776E9D" w14:textId="77777777">
        <w:trPr>
          <w:trHeight w:val="152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EC5FE" w14:textId="77777777" w:rsidR="00821153" w:rsidRDefault="008910CC">
            <w:pPr>
              <w:spacing w:line="259" w:lineRule="auto"/>
              <w:ind w:left="0" w:firstLine="0"/>
            </w:pPr>
            <w:r>
              <w:t xml:space="preserve">91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E6622" w14:textId="77777777" w:rsidR="00821153" w:rsidRDefault="008910CC">
            <w:pPr>
              <w:spacing w:line="259" w:lineRule="auto"/>
              <w:ind w:left="2" w:firstLine="0"/>
            </w:pPr>
            <w:r>
              <w:t xml:space="preserve">MP.GTM.021.1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0FD6C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“Noise </w:t>
            </w:r>
          </w:p>
          <w:p w14:paraId="61C6CE42" w14:textId="77777777" w:rsidR="00821153" w:rsidRDefault="008910CC">
            <w:pPr>
              <w:spacing w:after="4" w:line="259" w:lineRule="auto"/>
              <w:ind w:left="6" w:firstLine="0"/>
              <w:jc w:val="both"/>
            </w:pPr>
            <w:r>
              <w:t xml:space="preserve">Management Plan” </w:t>
            </w:r>
          </w:p>
          <w:p w14:paraId="22E39265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73ED0F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Review and update “Noise </w:t>
            </w:r>
          </w:p>
          <w:p w14:paraId="6D5A0D0C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Management Plan” </w:t>
            </w:r>
          </w:p>
          <w:p w14:paraId="32B372D5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 MP.GTM.021.1 </w:t>
            </w:r>
          </w:p>
          <w:p w14:paraId="29491764" w14:textId="77777777" w:rsidR="00821153" w:rsidRDefault="008910CC">
            <w:pPr>
              <w:spacing w:line="263" w:lineRule="auto"/>
              <w:ind w:left="7" w:firstLine="0"/>
            </w:pPr>
            <w:r>
              <w:t xml:space="preserve">25/8/2014 - overdue for review  </w:t>
            </w:r>
          </w:p>
          <w:p w14:paraId="74133223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  <w:tr w:rsidR="00821153" w14:paraId="4EC580F7" w14:textId="77777777">
        <w:trPr>
          <w:trHeight w:val="1810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B474A" w14:textId="77777777" w:rsidR="00821153" w:rsidRDefault="008910CC">
            <w:pPr>
              <w:spacing w:line="259" w:lineRule="auto"/>
              <w:ind w:left="0" w:firstLine="0"/>
            </w:pPr>
            <w:r>
              <w:t xml:space="preserve">158 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ABBF2" w14:textId="77777777" w:rsidR="00821153" w:rsidRDefault="008910CC">
            <w:pPr>
              <w:spacing w:after="4" w:line="259" w:lineRule="auto"/>
              <w:ind w:left="2" w:firstLine="0"/>
            </w:pPr>
            <w:r>
              <w:t xml:space="preserve">GSHMS.052 </w:t>
            </w:r>
          </w:p>
          <w:p w14:paraId="2419197E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3C3CC" w14:textId="77777777" w:rsidR="00821153" w:rsidRDefault="008910CC">
            <w:pPr>
              <w:spacing w:after="4" w:line="259" w:lineRule="auto"/>
              <w:ind w:left="6" w:firstLine="0"/>
            </w:pPr>
            <w:r>
              <w:t>“</w:t>
            </w:r>
            <w:proofErr w:type="spellStart"/>
            <w:r>
              <w:t>Self Rescuers</w:t>
            </w:r>
            <w:proofErr w:type="spellEnd"/>
            <w:r>
              <w:t xml:space="preserve"> and </w:t>
            </w:r>
          </w:p>
          <w:p w14:paraId="2FAB5ED3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Other Breathing </w:t>
            </w:r>
          </w:p>
          <w:p w14:paraId="5C6185EA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Apparatus” </w:t>
            </w:r>
          </w:p>
          <w:p w14:paraId="245B43DE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4757AA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Review and update “Self </w:t>
            </w:r>
          </w:p>
          <w:p w14:paraId="37FB018E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Rescuers and Other </w:t>
            </w:r>
          </w:p>
          <w:p w14:paraId="33777489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Breathing Apparatus” </w:t>
            </w:r>
          </w:p>
          <w:p w14:paraId="08BE7E58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GSHMS.052 </w:t>
            </w:r>
          </w:p>
          <w:p w14:paraId="0F01AFE4" w14:textId="77777777" w:rsidR="00821153" w:rsidRDefault="008910CC">
            <w:pPr>
              <w:spacing w:line="259" w:lineRule="auto"/>
              <w:ind w:left="7" w:firstLine="0"/>
            </w:pPr>
            <w:r w:rsidRPr="00C7321D">
              <w:rPr>
                <w:highlight w:val="yellow"/>
              </w:rPr>
              <w:t>17/5/2004 – overdue for review</w:t>
            </w:r>
            <w:r>
              <w:t xml:space="preserve"> </w:t>
            </w:r>
          </w:p>
        </w:tc>
      </w:tr>
      <w:tr w:rsidR="00821153" w14:paraId="1F67781D" w14:textId="77777777">
        <w:trPr>
          <w:trHeight w:val="2237"/>
        </w:trPr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153FB" w14:textId="77777777" w:rsidR="00821153" w:rsidRDefault="008910CC">
            <w:pPr>
              <w:spacing w:line="259" w:lineRule="auto"/>
              <w:ind w:left="0" w:firstLine="0"/>
            </w:pPr>
            <w:r>
              <w:lastRenderedPageBreak/>
              <w:t xml:space="preserve">257 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F8C45" w14:textId="77777777" w:rsidR="00821153" w:rsidRDefault="008910CC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4DC80" w14:textId="77777777" w:rsidR="00821153" w:rsidRDefault="008910CC">
            <w:pPr>
              <w:spacing w:line="263" w:lineRule="auto"/>
              <w:ind w:left="6" w:firstLine="0"/>
            </w:pPr>
            <w:r>
              <w:t xml:space="preserve">“Designing, installing, inspecting and </w:t>
            </w:r>
            <w:proofErr w:type="gramStart"/>
            <w:r>
              <w:t>maintaining</w:t>
            </w:r>
            <w:proofErr w:type="gramEnd"/>
            <w:r>
              <w:t xml:space="preserve"> </w:t>
            </w:r>
          </w:p>
          <w:p w14:paraId="6A2C057F" w14:textId="77777777" w:rsidR="00821153" w:rsidRDefault="008910CC">
            <w:pPr>
              <w:spacing w:after="4" w:line="259" w:lineRule="auto"/>
              <w:ind w:left="6" w:firstLine="0"/>
            </w:pPr>
            <w:r>
              <w:t xml:space="preserve">conveyors” </w:t>
            </w:r>
          </w:p>
          <w:p w14:paraId="35DBC1AA" w14:textId="77777777" w:rsidR="00821153" w:rsidRDefault="008910CC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15925" w14:textId="77777777" w:rsidR="00821153" w:rsidRPr="00C7321D" w:rsidRDefault="008910CC">
            <w:pPr>
              <w:spacing w:after="4" w:line="259" w:lineRule="auto"/>
              <w:ind w:left="7" w:firstLine="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Locate or develop a </w:t>
            </w:r>
          </w:p>
          <w:p w14:paraId="2AE5B7BC" w14:textId="77777777" w:rsidR="00821153" w:rsidRPr="00C7321D" w:rsidRDefault="008910CC">
            <w:pPr>
              <w:spacing w:line="263" w:lineRule="auto"/>
              <w:ind w:left="7" w:firstLine="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procedure/standard/SOP for “Designing, installing, inspecting and maintaining conveyors” as document cannot be found on </w:t>
            </w:r>
          </w:p>
          <w:p w14:paraId="49C6723A" w14:textId="77777777" w:rsidR="00821153" w:rsidRPr="00C7321D" w:rsidRDefault="008910CC">
            <w:pPr>
              <w:spacing w:after="4" w:line="259" w:lineRule="auto"/>
              <w:ind w:left="7" w:firstLine="0"/>
              <w:rPr>
                <w:color w:val="FF0000"/>
              </w:rPr>
            </w:pPr>
            <w:r w:rsidRPr="00C7321D">
              <w:rPr>
                <w:color w:val="FF0000"/>
                <w:highlight w:val="yellow"/>
              </w:rPr>
              <w:t>SharePoint</w:t>
            </w:r>
            <w:r w:rsidRPr="00C7321D">
              <w:rPr>
                <w:color w:val="FF0000"/>
              </w:rPr>
              <w:t xml:space="preserve"> </w:t>
            </w:r>
          </w:p>
          <w:p w14:paraId="5D18E71F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</w:tbl>
    <w:p w14:paraId="5F77C0EE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p w14:paraId="103166D8" w14:textId="77777777" w:rsidR="00821153" w:rsidRDefault="008910CC">
      <w:pPr>
        <w:spacing w:after="1536" w:line="265" w:lineRule="auto"/>
        <w:ind w:right="-15"/>
        <w:jc w:val="right"/>
      </w:pPr>
      <w:r>
        <w:rPr>
          <w:i w:val="0"/>
          <w:sz w:val="20"/>
        </w:rPr>
        <w:t>AAMC.001.005.0515</w:t>
      </w:r>
    </w:p>
    <w:p w14:paraId="52433406" w14:textId="77777777" w:rsidR="00821153" w:rsidRDefault="008910CC">
      <w:pPr>
        <w:pStyle w:val="Heading1"/>
        <w:ind w:left="432" w:hanging="432"/>
      </w:pPr>
      <w:bookmarkStart w:id="10" w:name="_Toc23182"/>
      <w:r>
        <w:t xml:space="preserve">Recommendations for Improvement </w:t>
      </w:r>
      <w:bookmarkEnd w:id="10"/>
    </w:p>
    <w:p w14:paraId="772FB5EC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4" w:type="dxa"/>
        <w:tblCellMar>
          <w:top w:w="1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3"/>
        <w:gridCol w:w="7881"/>
      </w:tblGrid>
      <w:tr w:rsidR="00821153" w14:paraId="62A0181A" w14:textId="77777777">
        <w:trPr>
          <w:trHeight w:val="84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32693" w14:textId="77777777" w:rsidR="00821153" w:rsidRDefault="008910CC">
            <w:pPr>
              <w:spacing w:line="259" w:lineRule="auto"/>
              <w:ind w:left="0" w:firstLine="0"/>
            </w:pPr>
            <w:r>
              <w:t xml:space="preserve">Line No. in Audit Tool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BE1BF" w14:textId="77777777" w:rsidR="00821153" w:rsidRDefault="008910CC">
            <w:pPr>
              <w:spacing w:line="259" w:lineRule="auto"/>
              <w:ind w:left="7" w:firstLine="0"/>
            </w:pPr>
            <w:r>
              <w:t xml:space="preserve">Description </w:t>
            </w:r>
          </w:p>
        </w:tc>
      </w:tr>
      <w:tr w:rsidR="00821153" w14:paraId="6FE9A978" w14:textId="77777777">
        <w:trPr>
          <w:trHeight w:val="311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94BC" w14:textId="77777777" w:rsidR="00821153" w:rsidRDefault="008910CC">
            <w:pPr>
              <w:spacing w:after="4" w:line="259" w:lineRule="auto"/>
              <w:ind w:left="0" w:firstLine="0"/>
            </w:pPr>
            <w:r>
              <w:t xml:space="preserve">1, 3 and </w:t>
            </w:r>
          </w:p>
          <w:p w14:paraId="7A5BC15E" w14:textId="77777777" w:rsidR="00821153" w:rsidRDefault="008910CC">
            <w:pPr>
              <w:spacing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2185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Mine Record </w:t>
            </w:r>
          </w:p>
          <w:p w14:paraId="4510B439" w14:textId="77777777" w:rsidR="00821153" w:rsidRPr="00C7321D" w:rsidRDefault="008910CC">
            <w:pPr>
              <w:spacing w:after="40" w:line="259" w:lineRule="auto"/>
              <w:ind w:left="7" w:firstLine="0"/>
              <w:rPr>
                <w:color w:val="FF0000"/>
              </w:rPr>
            </w:pPr>
            <w:r>
              <w:t xml:space="preserve"> </w:t>
            </w:r>
          </w:p>
          <w:p w14:paraId="2CDEBE6F" w14:textId="77777777" w:rsidR="00821153" w:rsidRPr="00C7321D" w:rsidRDefault="008910CC">
            <w:pPr>
              <w:numPr>
                <w:ilvl w:val="0"/>
                <w:numId w:val="7"/>
              </w:numPr>
              <w:ind w:hanging="36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Add appointment of Operators Representative into Grasstree Mine Record  </w:t>
            </w:r>
          </w:p>
          <w:p w14:paraId="783C65FD" w14:textId="77777777" w:rsidR="00821153" w:rsidRPr="00C7321D" w:rsidRDefault="008910CC">
            <w:pPr>
              <w:spacing w:after="40" w:line="259" w:lineRule="auto"/>
              <w:ind w:left="7" w:firstLine="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 </w:t>
            </w:r>
          </w:p>
          <w:p w14:paraId="4021878E" w14:textId="77777777" w:rsidR="00821153" w:rsidRPr="00C7321D" w:rsidRDefault="008910CC">
            <w:pPr>
              <w:numPr>
                <w:ilvl w:val="0"/>
                <w:numId w:val="7"/>
              </w:numPr>
              <w:spacing w:line="266" w:lineRule="auto"/>
              <w:ind w:hanging="36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Check Org Chart in section 2(4) of Management Structure version 66 dated 19/6/2019 as it shows Underground Mine Manager (UMM) does </w:t>
            </w:r>
            <w:r w:rsidRPr="00C7321D">
              <w:rPr>
                <w:color w:val="FF0000"/>
                <w:highlight w:val="yellow"/>
                <w:u w:val="single" w:color="000000"/>
              </w:rPr>
              <w:t>not have</w:t>
            </w:r>
            <w:r w:rsidRPr="00C7321D">
              <w:rPr>
                <w:color w:val="FF0000"/>
                <w:highlight w:val="yellow"/>
              </w:rPr>
              <w:t xml:space="preserve"> anyone reporting to </w:t>
            </w:r>
            <w:proofErr w:type="gramStart"/>
            <w:r w:rsidRPr="00C7321D">
              <w:rPr>
                <w:color w:val="FF0000"/>
                <w:highlight w:val="yellow"/>
              </w:rPr>
              <w:t>him</w:t>
            </w:r>
            <w:proofErr w:type="gramEnd"/>
            <w:r w:rsidRPr="00C7321D">
              <w:rPr>
                <w:color w:val="FF0000"/>
                <w:highlight w:val="yellow"/>
              </w:rPr>
              <w:t xml:space="preserve"> </w:t>
            </w:r>
          </w:p>
          <w:p w14:paraId="615A3B1C" w14:textId="77777777" w:rsidR="00821153" w:rsidRPr="00C7321D" w:rsidRDefault="008910CC">
            <w:pPr>
              <w:spacing w:after="40" w:line="259" w:lineRule="auto"/>
              <w:ind w:left="7" w:firstLine="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 </w:t>
            </w:r>
          </w:p>
          <w:p w14:paraId="5D9A89EC" w14:textId="77777777" w:rsidR="00821153" w:rsidRPr="00C7321D" w:rsidRDefault="008910CC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color w:val="FF0000"/>
                <w:highlight w:val="yellow"/>
              </w:rPr>
            </w:pPr>
            <w:r w:rsidRPr="00C7321D">
              <w:rPr>
                <w:color w:val="FF0000"/>
                <w:highlight w:val="yellow"/>
              </w:rPr>
              <w:t xml:space="preserve">Add Mines Rescue Agreement into Mine Record on SharePoint </w:t>
            </w:r>
          </w:p>
          <w:p w14:paraId="0CA9FA07" w14:textId="77777777" w:rsidR="00821153" w:rsidRDefault="008910CC">
            <w:pPr>
              <w:spacing w:line="259" w:lineRule="auto"/>
              <w:ind w:left="7" w:firstLine="0"/>
            </w:pPr>
            <w:r w:rsidRPr="00C7321D">
              <w:rPr>
                <w:color w:val="FF0000"/>
              </w:rPr>
              <w:t xml:space="preserve"> </w:t>
            </w:r>
          </w:p>
        </w:tc>
      </w:tr>
      <w:tr w:rsidR="00821153" w14:paraId="7A8B0531" w14:textId="77777777">
        <w:trPr>
          <w:trHeight w:val="3907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75302" w14:textId="77777777" w:rsidR="00821153" w:rsidRDefault="008910CC">
            <w:pPr>
              <w:spacing w:after="3633" w:line="259" w:lineRule="auto"/>
              <w:ind w:left="0" w:firstLine="0"/>
            </w:pPr>
            <w:r>
              <w:t xml:space="preserve">59 </w:t>
            </w:r>
          </w:p>
          <w:p w14:paraId="03D85BA8" w14:textId="77777777" w:rsidR="00821153" w:rsidRDefault="008910CC">
            <w:pPr>
              <w:spacing w:after="585" w:line="259" w:lineRule="auto"/>
              <w:ind w:left="0" w:firstLine="0"/>
            </w:pPr>
            <w:r>
              <w:lastRenderedPageBreak/>
              <w:t xml:space="preserve">73 </w:t>
            </w:r>
          </w:p>
          <w:p w14:paraId="1E40ED1D" w14:textId="77777777" w:rsidR="00821153" w:rsidRDefault="008910CC">
            <w:pPr>
              <w:spacing w:line="259" w:lineRule="auto"/>
              <w:ind w:left="0" w:firstLine="0"/>
            </w:pPr>
            <w:r>
              <w:t xml:space="preserve">120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240A" w14:textId="77777777" w:rsidR="00821153" w:rsidRDefault="008910CC">
            <w:pPr>
              <w:spacing w:after="4" w:line="259" w:lineRule="auto"/>
              <w:ind w:left="7" w:firstLine="0"/>
            </w:pPr>
            <w:r>
              <w:lastRenderedPageBreak/>
              <w:t xml:space="preserve">Decide whether to </w:t>
            </w:r>
            <w:proofErr w:type="gramStart"/>
            <w:r>
              <w:t>keep</w:t>
            </w:r>
            <w:proofErr w:type="gramEnd"/>
            <w:r>
              <w:t xml:space="preserve">  </w:t>
            </w:r>
          </w:p>
          <w:p w14:paraId="7AD45771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 </w:t>
            </w:r>
          </w:p>
          <w:p w14:paraId="3F2B72A7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“Recovering Fixed and Mobile Plant after an Accident or </w:t>
            </w:r>
            <w:proofErr w:type="gramStart"/>
            <w:r>
              <w:t>Incident”</w:t>
            </w:r>
            <w:proofErr w:type="gramEnd"/>
            <w:r>
              <w:t xml:space="preserve"> </w:t>
            </w:r>
          </w:p>
          <w:p w14:paraId="00DA3A07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SOP.MP.GTM.013.072(b) </w:t>
            </w:r>
          </w:p>
          <w:p w14:paraId="4EF0CB59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 </w:t>
            </w:r>
          </w:p>
          <w:p w14:paraId="06B60701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Or </w:t>
            </w:r>
          </w:p>
          <w:p w14:paraId="10375EFF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 </w:t>
            </w:r>
          </w:p>
          <w:p w14:paraId="374427DE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“Mobile and Fixed Plant Operations” </w:t>
            </w:r>
          </w:p>
          <w:p w14:paraId="4CBA3136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SOP.UGGT.375 </w:t>
            </w:r>
          </w:p>
          <w:p w14:paraId="1DFEBBFC" w14:textId="77777777" w:rsidR="00821153" w:rsidRDefault="008910CC">
            <w:pPr>
              <w:spacing w:after="4" w:line="259" w:lineRule="auto"/>
              <w:ind w:left="7" w:firstLine="0"/>
            </w:pPr>
            <w:r>
              <w:t xml:space="preserve"> </w:t>
            </w:r>
          </w:p>
          <w:p w14:paraId="507E8471" w14:textId="77777777" w:rsidR="00821153" w:rsidRDefault="008910CC">
            <w:pPr>
              <w:spacing w:line="263" w:lineRule="auto"/>
              <w:ind w:left="7" w:firstLine="0"/>
            </w:pPr>
            <w:r>
              <w:t xml:space="preserve">Both documents are on SharePoint and cover the same topic “Recovering Fixed and Mobile Plant after an Accident or Incident” but have different document </w:t>
            </w:r>
            <w:proofErr w:type="spellStart"/>
            <w:proofErr w:type="gramStart"/>
            <w:r>
              <w:t>no.s</w:t>
            </w:r>
            <w:proofErr w:type="spellEnd"/>
            <w:proofErr w:type="gramEnd"/>
            <w:r>
              <w:t xml:space="preserve"> </w:t>
            </w:r>
          </w:p>
          <w:p w14:paraId="20ABD159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  <w:tr w:rsidR="00821153" w14:paraId="13A37153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31C0A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390" w14:textId="77777777" w:rsidR="00821153" w:rsidRDefault="008910CC">
            <w:pPr>
              <w:ind w:left="727" w:hanging="360"/>
            </w:pPr>
            <w:r>
              <w:rPr>
                <w:rFonts w:ascii="Segoe UI Symbol" w:eastAsia="Segoe UI Symbol" w:hAnsi="Segoe UI Symbol" w:cs="Segoe UI Symbol"/>
                <w:i w:val="0"/>
              </w:rPr>
              <w:t>•</w:t>
            </w: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ab/>
            </w:r>
            <w:r w:rsidRPr="00C7321D">
              <w:rPr>
                <w:highlight w:val="yellow"/>
              </w:rPr>
              <w:t>Add “Mine Training Competence Scheme” (5-</w:t>
            </w:r>
            <w:r w:rsidRPr="00C7321D">
              <w:rPr>
                <w:highlight w:val="yellow"/>
              </w:rPr>
              <w:t>32) to System STD 05 Training Awareness, Competence &amp; Fit for Work</w:t>
            </w:r>
            <w:r>
              <w:t xml:space="preserve"> </w:t>
            </w:r>
          </w:p>
          <w:p w14:paraId="6594AC50" w14:textId="77777777" w:rsidR="00821153" w:rsidRDefault="008910CC">
            <w:pPr>
              <w:spacing w:line="259" w:lineRule="auto"/>
              <w:ind w:left="7" w:firstLine="0"/>
            </w:pPr>
            <w:r>
              <w:t xml:space="preserve"> </w:t>
            </w:r>
          </w:p>
        </w:tc>
      </w:tr>
      <w:tr w:rsidR="00821153" w14:paraId="41FA1B17" w14:textId="77777777">
        <w:trPr>
          <w:trHeight w:val="3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F4516" w14:textId="77777777" w:rsidR="00821153" w:rsidRDefault="00821153">
            <w:pPr>
              <w:spacing w:after="160" w:line="259" w:lineRule="auto"/>
              <w:ind w:left="0" w:firstLine="0"/>
            </w:pP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1EDB" w14:textId="77777777" w:rsidR="00821153" w:rsidRPr="00C7321D" w:rsidRDefault="008910CC">
            <w:pPr>
              <w:spacing w:line="263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Grasstree Management to decide which of the following two SOPs should be </w:t>
            </w:r>
            <w:proofErr w:type="gramStart"/>
            <w:r w:rsidRPr="00C7321D">
              <w:rPr>
                <w:highlight w:val="yellow"/>
              </w:rPr>
              <w:t>retained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348E8470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5A7B8C77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“Provision for </w:t>
            </w:r>
            <w:proofErr w:type="spellStart"/>
            <w:r w:rsidRPr="00C7321D">
              <w:rPr>
                <w:highlight w:val="yellow"/>
              </w:rPr>
              <w:t>Self Escape</w:t>
            </w:r>
            <w:proofErr w:type="spellEnd"/>
            <w:r w:rsidRPr="00C7321D">
              <w:rPr>
                <w:highlight w:val="yellow"/>
              </w:rPr>
              <w:t xml:space="preserve"> of Persons from the Mine” </w:t>
            </w:r>
          </w:p>
          <w:p w14:paraId="50C8A418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3C4C1804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Both have the same document No. </w:t>
            </w:r>
          </w:p>
          <w:p w14:paraId="4E422F7D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5C24A6AD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SOP.PHMP.GTM.011.168 </w:t>
            </w:r>
          </w:p>
          <w:p w14:paraId="051B13A4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Issue dates are </w:t>
            </w:r>
            <w:proofErr w:type="gramStart"/>
            <w:r w:rsidRPr="00C7321D">
              <w:rPr>
                <w:highlight w:val="yellow"/>
              </w:rPr>
              <w:t>different</w:t>
            </w:r>
            <w:proofErr w:type="gramEnd"/>
            <w:r w:rsidRPr="00C7321D">
              <w:rPr>
                <w:highlight w:val="yellow"/>
              </w:rPr>
              <w:t xml:space="preserve"> </w:t>
            </w:r>
          </w:p>
          <w:p w14:paraId="7ACD376B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6/12/2016 </w:t>
            </w:r>
          </w:p>
          <w:p w14:paraId="2DD3F098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17/5/2019 </w:t>
            </w:r>
          </w:p>
          <w:p w14:paraId="36C1C046" w14:textId="77777777" w:rsidR="00821153" w:rsidRPr="00C7321D" w:rsidRDefault="008910CC">
            <w:pPr>
              <w:spacing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</w:tc>
      </w:tr>
    </w:tbl>
    <w:p w14:paraId="32EE1D25" w14:textId="77777777" w:rsidR="00821153" w:rsidRDefault="008910CC">
      <w:pPr>
        <w:spacing w:after="1240" w:line="259" w:lineRule="auto"/>
        <w:ind w:left="8416" w:right="-15"/>
      </w:pPr>
      <w:r>
        <w:rPr>
          <w:i w:val="0"/>
          <w:sz w:val="20"/>
        </w:rPr>
        <w:t>AAMC.001.005.0516</w:t>
      </w:r>
    </w:p>
    <w:tbl>
      <w:tblPr>
        <w:tblStyle w:val="TableGrid"/>
        <w:tblW w:w="9074" w:type="dxa"/>
        <w:tblInd w:w="-4" w:type="dxa"/>
        <w:tblCellMar>
          <w:top w:w="1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3"/>
        <w:gridCol w:w="7881"/>
      </w:tblGrid>
      <w:tr w:rsidR="00821153" w14:paraId="7208F8EC" w14:textId="77777777">
        <w:trPr>
          <w:trHeight w:val="84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0DB78" w14:textId="77777777" w:rsidR="00821153" w:rsidRDefault="008910CC">
            <w:pPr>
              <w:spacing w:line="259" w:lineRule="auto"/>
              <w:ind w:left="0" w:firstLine="0"/>
            </w:pPr>
            <w:r>
              <w:t xml:space="preserve">Line No. in Audit Tool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0924B" w14:textId="77777777" w:rsidR="00821153" w:rsidRDefault="008910CC">
            <w:pPr>
              <w:spacing w:line="259" w:lineRule="auto"/>
              <w:ind w:left="7" w:firstLine="0"/>
            </w:pPr>
            <w:r>
              <w:t xml:space="preserve">Description </w:t>
            </w:r>
          </w:p>
        </w:tc>
      </w:tr>
      <w:tr w:rsidR="00821153" w14:paraId="3141CB75" w14:textId="77777777">
        <w:trPr>
          <w:trHeight w:val="452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25FFB" w14:textId="77777777" w:rsidR="00821153" w:rsidRDefault="008910CC">
            <w:pPr>
              <w:spacing w:line="259" w:lineRule="auto"/>
              <w:ind w:left="0" w:firstLine="0"/>
            </w:pPr>
            <w:r>
              <w:t xml:space="preserve">163 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FE7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Risk Assessment RA.GTM.735 “Gas Monitoring” overs 4 x SOPs </w:t>
            </w:r>
          </w:p>
          <w:p w14:paraId="1793E417" w14:textId="77777777" w:rsidR="00821153" w:rsidRPr="00C7321D" w:rsidRDefault="008910CC">
            <w:pPr>
              <w:spacing w:after="40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1FA211A9" w14:textId="77777777" w:rsidR="00821153" w:rsidRPr="00C7321D" w:rsidRDefault="008910CC">
            <w:pPr>
              <w:numPr>
                <w:ilvl w:val="0"/>
                <w:numId w:val="8"/>
              </w:numPr>
              <w:ind w:hanging="36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Changing Gas Alarm Level Settings, Installing Changing and Removing Gas Monitoring Equipment” SOP.PHMP.GTM.005.1.225 </w:t>
            </w:r>
          </w:p>
          <w:p w14:paraId="278C48ED" w14:textId="77777777" w:rsidR="00821153" w:rsidRPr="00C7321D" w:rsidRDefault="008910CC">
            <w:pPr>
              <w:spacing w:after="40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4BD67F58" w14:textId="77777777" w:rsidR="00821153" w:rsidRPr="00C7321D" w:rsidRDefault="008910CC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“Acknowledging Gas Alarms” SOP.PHMP.GTM.005.1.226 </w:t>
            </w:r>
          </w:p>
          <w:p w14:paraId="7EE0253D" w14:textId="77777777" w:rsidR="00821153" w:rsidRPr="00C7321D" w:rsidRDefault="008910CC">
            <w:pPr>
              <w:spacing w:after="40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78017FEE" w14:textId="77777777" w:rsidR="00821153" w:rsidRPr="00C7321D" w:rsidRDefault="008910CC">
            <w:pPr>
              <w:numPr>
                <w:ilvl w:val="0"/>
                <w:numId w:val="8"/>
              </w:numPr>
              <w:ind w:hanging="360"/>
              <w:rPr>
                <w:highlight w:val="yellow"/>
              </w:rPr>
            </w:pPr>
            <w:r w:rsidRPr="00C7321D">
              <w:rPr>
                <w:highlight w:val="yellow"/>
              </w:rPr>
              <w:t>“</w:t>
            </w:r>
            <w:r w:rsidRPr="00C7321D">
              <w:rPr>
                <w:highlight w:val="yellow"/>
              </w:rPr>
              <w:t xml:space="preserve">Taking Action when Methane Detected at a Ventilation Split or Main Return Airway” SOP.PHMP.GTM.005.1.249 </w:t>
            </w:r>
          </w:p>
          <w:p w14:paraId="6C95C784" w14:textId="77777777" w:rsidR="00821153" w:rsidRPr="00C7321D" w:rsidRDefault="008910CC">
            <w:pPr>
              <w:spacing w:after="40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49140F1C" w14:textId="77777777" w:rsidR="00821153" w:rsidRPr="00C7321D" w:rsidRDefault="008910CC">
            <w:pPr>
              <w:numPr>
                <w:ilvl w:val="0"/>
                <w:numId w:val="8"/>
              </w:numPr>
              <w:ind w:hanging="36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“Action to be taken if Methane Detector Activates or is </w:t>
            </w:r>
            <w:proofErr w:type="spellStart"/>
            <w:r w:rsidRPr="00C7321D">
              <w:rPr>
                <w:highlight w:val="yellow"/>
              </w:rPr>
              <w:t>NonOperational</w:t>
            </w:r>
            <w:proofErr w:type="spellEnd"/>
            <w:r w:rsidRPr="00C7321D">
              <w:rPr>
                <w:highlight w:val="yellow"/>
              </w:rPr>
              <w:t xml:space="preserve">” SOP.PHMP.GTM.005.1.250 </w:t>
            </w:r>
          </w:p>
          <w:p w14:paraId="21947E44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58BCA90E" w14:textId="77777777" w:rsidR="00821153" w:rsidRPr="00C7321D" w:rsidRDefault="008910CC">
            <w:pPr>
              <w:spacing w:after="4" w:line="259" w:lineRule="auto"/>
              <w:ind w:left="7" w:firstLine="0"/>
              <w:rPr>
                <w:highlight w:val="yellow"/>
              </w:rPr>
            </w:pPr>
            <w:r w:rsidRPr="00C7321D">
              <w:rPr>
                <w:highlight w:val="yellow"/>
              </w:rPr>
              <w:t xml:space="preserve"> </w:t>
            </w:r>
          </w:p>
          <w:p w14:paraId="58AE5A52" w14:textId="77777777" w:rsidR="00821153" w:rsidRDefault="008910CC">
            <w:pPr>
              <w:spacing w:after="4" w:line="259" w:lineRule="auto"/>
              <w:ind w:left="7" w:firstLine="0"/>
            </w:pPr>
            <w:r w:rsidRPr="00C7321D">
              <w:rPr>
                <w:highlight w:val="yellow"/>
                <w:u w:val="single" w:color="000000"/>
              </w:rPr>
              <w:t xml:space="preserve">Each SOP should have its own WRAC risk </w:t>
            </w:r>
            <w:proofErr w:type="gramStart"/>
            <w:r w:rsidRPr="00C7321D">
              <w:rPr>
                <w:highlight w:val="yellow"/>
                <w:u w:val="single" w:color="000000"/>
              </w:rPr>
              <w:t>assessmen</w:t>
            </w:r>
            <w:r w:rsidRPr="00C7321D">
              <w:rPr>
                <w:highlight w:val="yellow"/>
                <w:u w:val="single" w:color="000000"/>
              </w:rPr>
              <w:t>t</w:t>
            </w:r>
            <w:proofErr w:type="gramEnd"/>
            <w:r>
              <w:t xml:space="preserve"> </w:t>
            </w:r>
          </w:p>
          <w:p w14:paraId="33CBECA2" w14:textId="77777777" w:rsidR="00821153" w:rsidRDefault="008910CC">
            <w:pPr>
              <w:spacing w:line="259" w:lineRule="auto"/>
              <w:ind w:left="727" w:firstLine="0"/>
            </w:pPr>
            <w:r>
              <w:t xml:space="preserve"> </w:t>
            </w:r>
          </w:p>
        </w:tc>
      </w:tr>
    </w:tbl>
    <w:p w14:paraId="442721B8" w14:textId="77777777" w:rsidR="00821153" w:rsidRDefault="00821153">
      <w:pPr>
        <w:sectPr w:rsidR="008211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6252"/>
          <w:pgMar w:top="151" w:right="160" w:bottom="1622" w:left="1803" w:header="1130" w:footer="726" w:gutter="0"/>
          <w:cols w:space="720"/>
        </w:sectPr>
      </w:pPr>
    </w:p>
    <w:p w14:paraId="2C455DFF" w14:textId="77777777" w:rsidR="00821153" w:rsidRDefault="008910CC">
      <w:pPr>
        <w:spacing w:after="428" w:line="548" w:lineRule="auto"/>
        <w:ind w:left="0" w:firstLine="0"/>
        <w:jc w:val="right"/>
      </w:pPr>
      <w:r>
        <w:rPr>
          <w:i w:val="0"/>
          <w:sz w:val="20"/>
        </w:rPr>
        <w:lastRenderedPageBreak/>
        <w:t xml:space="preserve">AAMC.001.005.0517 </w:t>
      </w:r>
      <w:r>
        <w:t xml:space="preserve">Statutory Compliance Audit – Grasstree Mine </w:t>
      </w:r>
    </w:p>
    <w:p w14:paraId="7C33C46B" w14:textId="77777777" w:rsidR="00821153" w:rsidRDefault="008910CC">
      <w:pPr>
        <w:spacing w:after="9153" w:line="259" w:lineRule="auto"/>
        <w:ind w:left="0" w:firstLine="0"/>
      </w:pPr>
      <w:r>
        <w:rPr>
          <w:b/>
          <w:sz w:val="28"/>
        </w:rPr>
        <w:t xml:space="preserve">6  </w:t>
      </w:r>
    </w:p>
    <w:p w14:paraId="69033355" w14:textId="77777777" w:rsidR="00821153" w:rsidRDefault="008910CC">
      <w:pPr>
        <w:spacing w:after="2" w:line="259" w:lineRule="auto"/>
        <w:ind w:left="-5"/>
      </w:pPr>
      <w:r>
        <w:lastRenderedPageBreak/>
        <w:t xml:space="preserve">13 </w:t>
      </w:r>
    </w:p>
    <w:p w14:paraId="3AD52476" w14:textId="77777777" w:rsidR="00821153" w:rsidRDefault="008910CC">
      <w:pPr>
        <w:spacing w:after="2" w:line="259" w:lineRule="auto"/>
        <w:ind w:left="-5"/>
      </w:pPr>
      <w:r>
        <w:t xml:space="preserve">Reed Mining Consultants Pty Ltd </w:t>
      </w:r>
    </w:p>
    <w:p w14:paraId="1DE4A1E1" w14:textId="77777777" w:rsidR="00821153" w:rsidRDefault="008910CC">
      <w:pPr>
        <w:spacing w:line="259" w:lineRule="auto"/>
        <w:ind w:left="0" w:firstLine="0"/>
      </w:pPr>
      <w:r>
        <w:t xml:space="preserve"> </w:t>
      </w:r>
    </w:p>
    <w:sectPr w:rsidR="008211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2318" w:orient="landscape"/>
      <w:pgMar w:top="1440" w:right="160" w:bottom="144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4DF5" w14:textId="77777777" w:rsidR="008910CC" w:rsidRDefault="008910CC">
      <w:pPr>
        <w:spacing w:line="240" w:lineRule="auto"/>
      </w:pPr>
      <w:r>
        <w:separator/>
      </w:r>
    </w:p>
  </w:endnote>
  <w:endnote w:type="continuationSeparator" w:id="0">
    <w:p w14:paraId="27C85AD6" w14:textId="77777777" w:rsidR="008910CC" w:rsidRDefault="0089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3585" w14:textId="77777777" w:rsidR="00821153" w:rsidRDefault="008910CC">
    <w:pPr>
      <w:spacing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BD17" w14:textId="77777777" w:rsidR="00821153" w:rsidRDefault="008910CC">
    <w:pPr>
      <w:spacing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DDBF" w14:textId="77777777" w:rsidR="00821153" w:rsidRDefault="008910CC">
    <w:pPr>
      <w:spacing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DDA7" w14:textId="77777777" w:rsidR="00821153" w:rsidRDefault="008910CC">
    <w:pPr>
      <w:spacing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66AA" w14:textId="77777777" w:rsidR="00821153" w:rsidRDefault="008910CC">
    <w:pPr>
      <w:spacing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389A" w14:textId="77777777" w:rsidR="00821153" w:rsidRDefault="008910CC">
    <w:pPr>
      <w:spacing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7FDA" w14:textId="77777777" w:rsidR="00821153" w:rsidRDefault="00821153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436F" w14:textId="77777777" w:rsidR="00821153" w:rsidRDefault="00821153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85BF" w14:textId="77777777" w:rsidR="00821153" w:rsidRDefault="0082115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FF65" w14:textId="77777777" w:rsidR="008910CC" w:rsidRDefault="008910CC">
      <w:pPr>
        <w:spacing w:line="240" w:lineRule="auto"/>
      </w:pPr>
      <w:r>
        <w:separator/>
      </w:r>
    </w:p>
  </w:footnote>
  <w:footnote w:type="continuationSeparator" w:id="0">
    <w:p w14:paraId="7D6D9067" w14:textId="77777777" w:rsidR="008910CC" w:rsidRDefault="0089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6DDC" w14:textId="77777777" w:rsidR="00821153" w:rsidRDefault="008910CC">
    <w:pPr>
      <w:spacing w:line="259" w:lineRule="auto"/>
      <w:ind w:left="0" w:firstLine="0"/>
    </w:pPr>
    <w:r>
      <w:t xml:space="preserve">Statutory Compliance Audit – Grasstree Mine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C368" w14:textId="77777777" w:rsidR="00821153" w:rsidRDefault="008910CC">
    <w:pPr>
      <w:spacing w:line="259" w:lineRule="auto"/>
      <w:ind w:left="0" w:firstLine="0"/>
    </w:pPr>
    <w:r>
      <w:t xml:space="preserve">Statutory Compliance Audit – Grasstree Mine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8D04" w14:textId="77777777" w:rsidR="00821153" w:rsidRDefault="008910CC">
    <w:pPr>
      <w:spacing w:line="259" w:lineRule="auto"/>
      <w:ind w:left="0" w:firstLine="0"/>
    </w:pPr>
    <w:r>
      <w:t xml:space="preserve">Statutory Compliance Audit – Grasstree Mine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1161" w14:textId="77777777" w:rsidR="00821153" w:rsidRDefault="008910CC">
    <w:pPr>
      <w:spacing w:line="259" w:lineRule="auto"/>
      <w:ind w:left="0" w:firstLine="0"/>
    </w:pPr>
    <w:r>
      <w:t xml:space="preserve">Statutory Compliance Audit – Grasstree Mine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D436" w14:textId="77777777" w:rsidR="00821153" w:rsidRDefault="008910CC">
    <w:pPr>
      <w:spacing w:line="259" w:lineRule="auto"/>
      <w:ind w:left="0" w:firstLine="0"/>
    </w:pPr>
    <w:r>
      <w:t xml:space="preserve">Statutory Compliance Audit – Grasstree Mine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C868" w14:textId="77777777" w:rsidR="00821153" w:rsidRDefault="008910CC">
    <w:pPr>
      <w:spacing w:line="259" w:lineRule="auto"/>
      <w:ind w:left="0" w:firstLine="0"/>
    </w:pPr>
    <w:r>
      <w:t xml:space="preserve">Statutory Compliance Audit – Grasstree Mine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8455" w14:textId="77777777" w:rsidR="00821153" w:rsidRDefault="00821153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BE8E" w14:textId="77777777" w:rsidR="00821153" w:rsidRDefault="00821153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26D0" w14:textId="77777777" w:rsidR="00821153" w:rsidRDefault="0082115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AB1"/>
    <w:multiLevelType w:val="multilevel"/>
    <w:tmpl w:val="A9D85F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B390F"/>
    <w:multiLevelType w:val="hybridMultilevel"/>
    <w:tmpl w:val="73DE9036"/>
    <w:lvl w:ilvl="0" w:tplc="D62626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0B0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2F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8E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281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A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1C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6D3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1CD5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66EFA"/>
    <w:multiLevelType w:val="hybridMultilevel"/>
    <w:tmpl w:val="5A1C5120"/>
    <w:lvl w:ilvl="0" w:tplc="CF00EE1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7FE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46E5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6B0B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8EF9A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852C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0753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2603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E9A86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33E63"/>
    <w:multiLevelType w:val="hybridMultilevel"/>
    <w:tmpl w:val="49F6BDBA"/>
    <w:lvl w:ilvl="0" w:tplc="00DC6F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894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858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88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A5E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415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464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E49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4CA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687730"/>
    <w:multiLevelType w:val="hybridMultilevel"/>
    <w:tmpl w:val="93021B84"/>
    <w:lvl w:ilvl="0" w:tplc="00CE1E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8F7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A0A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8B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AB7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680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A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C64E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2B9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D6D67"/>
    <w:multiLevelType w:val="hybridMultilevel"/>
    <w:tmpl w:val="BD945F12"/>
    <w:lvl w:ilvl="0" w:tplc="B28C2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84D2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AFA8E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017E4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A7278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DE1E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61182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E6540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2215C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944FB"/>
    <w:multiLevelType w:val="hybridMultilevel"/>
    <w:tmpl w:val="0B040BEA"/>
    <w:lvl w:ilvl="0" w:tplc="5C92D106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2B0F6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827B6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4F5E4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86775A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46102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E96AC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80B86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60416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24B52"/>
    <w:multiLevelType w:val="hybridMultilevel"/>
    <w:tmpl w:val="9A2AD4E8"/>
    <w:lvl w:ilvl="0" w:tplc="66B492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46E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82A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6A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8B4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27E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617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AAC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645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4F0BFE"/>
    <w:multiLevelType w:val="hybridMultilevel"/>
    <w:tmpl w:val="8EE21FB0"/>
    <w:lvl w:ilvl="0" w:tplc="F7CA8562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D02E78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E0DDE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E070A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635F0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89038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6C6AE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C67C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41E32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53"/>
    <w:rsid w:val="00821153"/>
    <w:rsid w:val="008910CC"/>
    <w:rsid w:val="00C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625E"/>
  <w15:docId w15:val="{B7E1AFC5-38FE-44C1-99D8-B479B5F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0" w:lineRule="auto"/>
      <w:ind w:left="10" w:hanging="10"/>
    </w:pPr>
    <w:rPr>
      <w:rFonts w:ascii="Arial" w:eastAsia="Arial" w:hAnsi="Arial" w:cs="Arial"/>
      <w:i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14"/>
      <w:ind w:left="10" w:hanging="10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9"/>
      </w:numPr>
      <w:spacing w:after="14"/>
      <w:ind w:left="10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8"/>
    </w:rPr>
  </w:style>
  <w:style w:type="paragraph" w:styleId="TOC1">
    <w:name w:val="toc 1"/>
    <w:hidden/>
    <w:pPr>
      <w:spacing w:after="124"/>
      <w:ind w:left="25" w:right="1646" w:hanging="1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TOC2">
    <w:name w:val="toc 2"/>
    <w:hidden/>
    <w:pPr>
      <w:spacing w:after="0" w:line="270" w:lineRule="auto"/>
      <w:ind w:left="245" w:right="1642" w:hanging="10"/>
    </w:pPr>
    <w:rPr>
      <w:rFonts w:ascii="Arial" w:eastAsia="Arial" w:hAnsi="Arial" w:cs="Arial"/>
      <w:i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Compliance Audit Report - Grasstree.doc</dc:title>
  <dc:subject/>
  <dc:creator>Stuart Vaccaneo</dc:creator>
  <cp:keywords/>
  <cp:lastModifiedBy>Stuart Vaccaneo</cp:lastModifiedBy>
  <cp:revision>2</cp:revision>
  <dcterms:created xsi:type="dcterms:W3CDTF">2021-04-22T22:34:00Z</dcterms:created>
  <dcterms:modified xsi:type="dcterms:W3CDTF">2021-04-22T22:34:00Z</dcterms:modified>
</cp:coreProperties>
</file>