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0081" w14:textId="77777777" w:rsidR="00031F6C" w:rsidRDefault="00251FC2">
      <w:pPr>
        <w:spacing w:after="95"/>
      </w:pPr>
      <w:r>
        <w:rPr>
          <w:rFonts w:ascii="Arial" w:eastAsia="Arial" w:hAnsi="Arial" w:cs="Arial"/>
          <w:color w:val="0C0C0C"/>
        </w:rPr>
        <w:t xml:space="preserve"> </w:t>
      </w:r>
    </w:p>
    <w:p w14:paraId="5B380F28" w14:textId="77777777" w:rsidR="00031F6C" w:rsidRDefault="00251FC2">
      <w:pPr>
        <w:spacing w:after="451"/>
      </w:pPr>
      <w:r>
        <w:rPr>
          <w:rFonts w:ascii="Arial" w:eastAsia="Arial" w:hAnsi="Arial" w:cs="Arial"/>
          <w:color w:val="043E5C"/>
        </w:rPr>
        <w:t>SA17-10 September 2017</w:t>
      </w:r>
      <w:r>
        <w:rPr>
          <w:rFonts w:ascii="Arial" w:eastAsia="Arial" w:hAnsi="Arial" w:cs="Arial"/>
          <w:color w:val="0C0C0C"/>
        </w:rPr>
        <w:t xml:space="preserve"> </w:t>
      </w:r>
    </w:p>
    <w:p w14:paraId="10AA5783" w14:textId="77777777" w:rsidR="00031F6C" w:rsidRDefault="00251FC2">
      <w:pPr>
        <w:pStyle w:val="Heading1"/>
      </w:pPr>
      <w:r>
        <w:t xml:space="preserve">Response times of gas detectors </w:t>
      </w:r>
    </w:p>
    <w:p w14:paraId="71EBF83B" w14:textId="77777777" w:rsidR="00031F6C" w:rsidRDefault="00251FC2">
      <w:pPr>
        <w:spacing w:after="535" w:line="268" w:lineRule="auto"/>
        <w:ind w:left="10" w:hanging="10"/>
      </w:pPr>
      <w:r>
        <w:rPr>
          <w:rFonts w:ascii="Arial" w:eastAsia="Arial" w:hAnsi="Arial" w:cs="Arial"/>
          <w:color w:val="0C0C0C"/>
        </w:rPr>
        <w:t xml:space="preserve">This safety alert provides information on a serious incident and safety advice for the NSW mining industry. </w:t>
      </w:r>
    </w:p>
    <w:p w14:paraId="049EDFC1" w14:textId="77777777" w:rsidR="00031F6C" w:rsidRDefault="00251FC2">
      <w:pPr>
        <w:pStyle w:val="Heading2"/>
        <w:ind w:left="-5"/>
      </w:pPr>
      <w:r>
        <w:t>Incident</w:t>
      </w:r>
      <w:r>
        <w:rPr>
          <w:b w:val="0"/>
          <w:color w:val="000000"/>
          <w:sz w:val="22"/>
        </w:rPr>
        <w:t xml:space="preserve"> </w:t>
      </w:r>
      <w:r>
        <w:t xml:space="preserve"> </w:t>
      </w:r>
    </w:p>
    <w:p w14:paraId="5DFAAD61" w14:textId="77777777" w:rsidR="00031F6C" w:rsidRDefault="00251FC2">
      <w:pPr>
        <w:spacing w:after="521" w:line="274" w:lineRule="auto"/>
        <w:ind w:right="204"/>
        <w:jc w:val="both"/>
      </w:pPr>
      <w:r>
        <w:rPr>
          <w:rFonts w:ascii="Arial" w:eastAsia="Arial" w:hAnsi="Arial" w:cs="Arial"/>
          <w:color w:val="0C0C0C"/>
        </w:rPr>
        <w:t>Following entry into an underground roadway at a coal mine, a longwall deputy’s gas detector alarmed at 2% methane.  The gas detector pe</w:t>
      </w:r>
      <w:r>
        <w:rPr>
          <w:rFonts w:ascii="Arial" w:eastAsia="Arial" w:hAnsi="Arial" w:cs="Arial"/>
          <w:color w:val="0C0C0C"/>
        </w:rPr>
        <w:t xml:space="preserve">aked at 3.5% during the deputy’s retreat from this roadway. This incident occurred on 5 September 2017.  </w:t>
      </w:r>
    </w:p>
    <w:p w14:paraId="74DA39E7" w14:textId="77777777" w:rsidR="00031F6C" w:rsidRDefault="00251FC2">
      <w:pPr>
        <w:pStyle w:val="Heading2"/>
        <w:ind w:left="-5"/>
      </w:pPr>
      <w:r>
        <w:t xml:space="preserve">Circumstances </w:t>
      </w:r>
    </w:p>
    <w:p w14:paraId="72EC40AF" w14:textId="77777777" w:rsidR="00031F6C" w:rsidRDefault="00251FC2">
      <w:pPr>
        <w:spacing w:after="5" w:line="249" w:lineRule="auto"/>
        <w:ind w:left="-3" w:hanging="10"/>
      </w:pPr>
      <w:r>
        <w:rPr>
          <w:rFonts w:ascii="Arial" w:eastAsia="Arial" w:hAnsi="Arial" w:cs="Arial"/>
        </w:rPr>
        <w:t>An LHD vehicle hit a water trap on the methane drainage line underground causing the water trap to break off at a ‘T’ piece. The operat</w:t>
      </w:r>
      <w:r>
        <w:rPr>
          <w:rFonts w:ascii="Arial" w:eastAsia="Arial" w:hAnsi="Arial" w:cs="Arial"/>
        </w:rPr>
        <w:t>or of the vehicle was unaware of the damage. The gas drainage plant had been shut down for maintenance activities resulting in the gas drainage range being pressurised. The damage to the drainage pipe range led to methane gas issuing under pressure into th</w:t>
      </w:r>
      <w:r>
        <w:rPr>
          <w:rFonts w:ascii="Arial" w:eastAsia="Arial" w:hAnsi="Arial" w:cs="Arial"/>
        </w:rPr>
        <w:t xml:space="preserve">e underground roadway. </w:t>
      </w:r>
    </w:p>
    <w:p w14:paraId="6C7A7DD2" w14:textId="77777777" w:rsidR="00031F6C" w:rsidRDefault="00251FC2">
      <w:pPr>
        <w:spacing w:after="0"/>
        <w:ind w:left="2"/>
      </w:pPr>
      <w:r>
        <w:rPr>
          <w:rFonts w:ascii="Arial" w:eastAsia="Arial" w:hAnsi="Arial" w:cs="Arial"/>
        </w:rPr>
        <w:t xml:space="preserve"> </w:t>
      </w:r>
    </w:p>
    <w:p w14:paraId="3239D20F" w14:textId="77777777" w:rsidR="00031F6C" w:rsidRDefault="00251FC2">
      <w:pPr>
        <w:spacing w:after="516" w:line="249" w:lineRule="auto"/>
        <w:ind w:left="-3" w:hanging="10"/>
      </w:pPr>
      <w:r>
        <w:rPr>
          <w:noProof/>
        </w:rPr>
        <mc:AlternateContent>
          <mc:Choice Requires="wpg">
            <w:drawing>
              <wp:anchor distT="0" distB="0" distL="114300" distR="114300" simplePos="0" relativeHeight="251658240" behindDoc="0" locked="0" layoutInCell="1" allowOverlap="1" wp14:anchorId="493759CE" wp14:editId="6B7D03DB">
                <wp:simplePos x="0" y="0"/>
                <wp:positionH relativeFrom="page">
                  <wp:posOffset>0</wp:posOffset>
                </wp:positionH>
                <wp:positionV relativeFrom="page">
                  <wp:posOffset>0</wp:posOffset>
                </wp:positionV>
                <wp:extent cx="7559040" cy="1272539"/>
                <wp:effectExtent l="0" t="0" r="0" b="0"/>
                <wp:wrapTopAndBottom/>
                <wp:docPr id="3182" name="Group 3182"/>
                <wp:cNvGraphicFramePr/>
                <a:graphic xmlns:a="http://schemas.openxmlformats.org/drawingml/2006/main">
                  <a:graphicData uri="http://schemas.microsoft.com/office/word/2010/wordprocessingGroup">
                    <wpg:wgp>
                      <wpg:cNvGrpSpPr/>
                      <wpg:grpSpPr>
                        <a:xfrm>
                          <a:off x="0" y="0"/>
                          <a:ext cx="7559040" cy="1272539"/>
                          <a:chOff x="0" y="0"/>
                          <a:chExt cx="7559040" cy="1272539"/>
                        </a:xfrm>
                      </wpg:grpSpPr>
                      <wps:wsp>
                        <wps:cNvPr id="6" name="Rectangle 6"/>
                        <wps:cNvSpPr/>
                        <wps:spPr>
                          <a:xfrm>
                            <a:off x="359664" y="351758"/>
                            <a:ext cx="37167" cy="186485"/>
                          </a:xfrm>
                          <a:prstGeom prst="rect">
                            <a:avLst/>
                          </a:prstGeom>
                          <a:ln>
                            <a:noFill/>
                          </a:ln>
                        </wps:spPr>
                        <wps:txbx>
                          <w:txbxContent>
                            <w:p w14:paraId="2D4B8371" w14:textId="77777777" w:rsidR="00031F6C" w:rsidRDefault="00251FC2">
                              <w:r>
                                <w:rPr>
                                  <w:rFonts w:ascii="Arial" w:eastAsia="Arial" w:hAnsi="Arial" w:cs="Arial"/>
                                  <w:b/>
                                  <w:color w:val="043E5C"/>
                                  <w:sz w:val="16"/>
                                </w:rPr>
                                <w:t xml:space="preserve"> </w:t>
                              </w:r>
                            </w:p>
                          </w:txbxContent>
                        </wps:txbx>
                        <wps:bodyPr horzOverflow="overflow" vert="horz" lIns="0" tIns="0" rIns="0" bIns="0" rtlCol="0">
                          <a:noAutofit/>
                        </wps:bodyPr>
                      </wps:wsp>
                      <pic:pic xmlns:pic="http://schemas.openxmlformats.org/drawingml/2006/picture">
                        <pic:nvPicPr>
                          <pic:cNvPr id="3345" name="Picture 3345"/>
                          <pic:cNvPicPr/>
                        </pic:nvPicPr>
                        <pic:blipFill>
                          <a:blip r:embed="rId5"/>
                          <a:stretch>
                            <a:fillRect/>
                          </a:stretch>
                        </pic:blipFill>
                        <pic:spPr>
                          <a:xfrm>
                            <a:off x="0" y="0"/>
                            <a:ext cx="7543800" cy="1271016"/>
                          </a:xfrm>
                          <a:prstGeom prst="rect">
                            <a:avLst/>
                          </a:prstGeom>
                        </pic:spPr>
                      </pic:pic>
                    </wpg:wgp>
                  </a:graphicData>
                </a:graphic>
              </wp:anchor>
            </w:drawing>
          </mc:Choice>
          <mc:Fallback xmlns:a="http://schemas.openxmlformats.org/drawingml/2006/main">
            <w:pict>
              <v:group id="Group 3182" style="width:595.2pt;height:100.2pt;position:absolute;mso-position-horizontal-relative:page;mso-position-horizontal:absolute;margin-left:0pt;mso-position-vertical-relative:page;margin-top:0pt;" coordsize="75590,12725">
                <v:rect id="Rectangle 6" style="position:absolute;width:371;height:1864;left:3596;top:3517;" filled="f" stroked="f">
                  <v:textbox inset="0,0,0,0">
                    <w:txbxContent>
                      <w:p>
                        <w:pPr>
                          <w:spacing w:before="0" w:after="160" w:line="259" w:lineRule="auto"/>
                        </w:pPr>
                        <w:r>
                          <w:rPr>
                            <w:rFonts w:cs="Arial" w:hAnsi="Arial" w:eastAsia="Arial" w:ascii="Arial"/>
                            <w:b w:val="1"/>
                            <w:color w:val="043e5c"/>
                            <w:sz w:val="16"/>
                          </w:rPr>
                          <w:t xml:space="preserve"> </w:t>
                        </w:r>
                      </w:p>
                    </w:txbxContent>
                  </v:textbox>
                </v:rect>
                <v:shape id="Picture 3345" style="position:absolute;width:75438;height:12710;left:0;top:0;" filled="f">
                  <v:imagedata r:id="rId6"/>
                </v:shape>
                <w10:wrap type="topAndBottom"/>
              </v:group>
            </w:pict>
          </mc:Fallback>
        </mc:AlternateContent>
      </w:r>
      <w:r>
        <w:rPr>
          <w:rFonts w:ascii="Arial" w:eastAsia="Arial" w:hAnsi="Arial" w:cs="Arial"/>
        </w:rPr>
        <w:t>While inspecting roadways inbye of the damaged water trap, a deputy’s gas detector alarmed at 2% methane. He retreated from the roadway with his gas detector peaking at 3.5%. The deputy had entered a methane concentration gre</w:t>
      </w:r>
      <w:r>
        <w:rPr>
          <w:rFonts w:ascii="Arial" w:eastAsia="Arial" w:hAnsi="Arial" w:cs="Arial"/>
        </w:rPr>
        <w:t xml:space="preserve">ater than 2% without being aware. This was because of the inability of the gas detection instrument to instantaneously measure the actual concentration of methane in this situation. </w:t>
      </w:r>
    </w:p>
    <w:p w14:paraId="6F3C4B29" w14:textId="77777777" w:rsidR="00031F6C" w:rsidRDefault="00251FC2">
      <w:pPr>
        <w:pStyle w:val="Heading2"/>
        <w:ind w:left="-5"/>
      </w:pPr>
      <w:r>
        <w:t xml:space="preserve">Gas detector requirements </w:t>
      </w:r>
    </w:p>
    <w:p w14:paraId="771C4932" w14:textId="77777777" w:rsidR="00031F6C" w:rsidRDefault="00251FC2">
      <w:pPr>
        <w:spacing w:after="5" w:line="249" w:lineRule="auto"/>
        <w:ind w:left="-3" w:hanging="10"/>
      </w:pPr>
      <w:r>
        <w:rPr>
          <w:rFonts w:ascii="Arial" w:eastAsia="Arial" w:hAnsi="Arial" w:cs="Arial"/>
        </w:rPr>
        <w:t>Methane detectors for underground coal mines i</w:t>
      </w:r>
      <w:r>
        <w:rPr>
          <w:rFonts w:ascii="Arial" w:eastAsia="Arial" w:hAnsi="Arial" w:cs="Arial"/>
        </w:rPr>
        <w:t xml:space="preserve">n NSW are required to be design registered. To achieve registration, a methane detector must comply with the requirements of </w:t>
      </w:r>
      <w:r>
        <w:rPr>
          <w:rFonts w:ascii="Arial" w:eastAsia="Arial" w:hAnsi="Arial" w:cs="Arial"/>
          <w:i/>
        </w:rPr>
        <w:t xml:space="preserve">Australian Standard AS/NZS </w:t>
      </w:r>
    </w:p>
    <w:p w14:paraId="1330F32F" w14:textId="77777777" w:rsidR="00031F6C" w:rsidRDefault="00251FC2">
      <w:pPr>
        <w:spacing w:after="0" w:line="240" w:lineRule="auto"/>
        <w:ind w:left="-4" w:right="7" w:hanging="10"/>
        <w:jc w:val="both"/>
      </w:pPr>
      <w:r>
        <w:rPr>
          <w:rFonts w:ascii="Arial" w:eastAsia="Arial" w:hAnsi="Arial" w:cs="Arial"/>
          <w:i/>
        </w:rPr>
        <w:t>60079.29.1</w:t>
      </w:r>
      <w:r>
        <w:rPr>
          <w:rFonts w:ascii="Arial" w:eastAsia="Arial" w:hAnsi="Arial" w:cs="Arial"/>
        </w:rPr>
        <w:t>. This standard requires the time for a sensor to reach 50% of the test gas concentration (</w:t>
      </w:r>
      <w:proofErr w:type="gramStart"/>
      <w:r>
        <w:rPr>
          <w:rFonts w:ascii="Arial" w:eastAsia="Arial" w:hAnsi="Arial" w:cs="Arial"/>
        </w:rPr>
        <w:t>t(</w:t>
      </w:r>
      <w:proofErr w:type="gramEnd"/>
      <w:r>
        <w:rPr>
          <w:rFonts w:ascii="Arial" w:eastAsia="Arial" w:hAnsi="Arial" w:cs="Arial"/>
        </w:rPr>
        <w:t xml:space="preserve">50)) of no greater than 10 seconds and the time for the sensor to reach 90% of the test gas concentration (t(90)) of no greater than 30 seconds.  </w:t>
      </w:r>
    </w:p>
    <w:p w14:paraId="57EE1AD4" w14:textId="77777777" w:rsidR="00031F6C" w:rsidRDefault="00251FC2">
      <w:pPr>
        <w:spacing w:after="0"/>
        <w:ind w:left="1"/>
      </w:pPr>
      <w:r>
        <w:rPr>
          <w:rFonts w:ascii="Arial" w:eastAsia="Arial" w:hAnsi="Arial" w:cs="Arial"/>
        </w:rPr>
        <w:t xml:space="preserve"> </w:t>
      </w:r>
    </w:p>
    <w:p w14:paraId="64881F2A" w14:textId="77777777" w:rsidR="00031F6C" w:rsidRDefault="00251FC2">
      <w:pPr>
        <w:spacing w:after="5" w:line="249" w:lineRule="auto"/>
        <w:ind w:left="707" w:hanging="720"/>
      </w:pPr>
      <w:r>
        <w:rPr>
          <w:rFonts w:ascii="Arial" w:eastAsia="Arial" w:hAnsi="Arial" w:cs="Arial"/>
          <w:b/>
        </w:rPr>
        <w:t>Note:</w:t>
      </w:r>
      <w:r>
        <w:rPr>
          <w:rFonts w:ascii="Arial" w:eastAsia="Arial" w:hAnsi="Arial" w:cs="Arial"/>
        </w:rPr>
        <w:t xml:space="preserve"> </w:t>
      </w:r>
      <w:r>
        <w:rPr>
          <w:rFonts w:ascii="Arial" w:eastAsia="Arial" w:hAnsi="Arial" w:cs="Arial"/>
        </w:rPr>
        <w:t xml:space="preserve">AS/NZS 4641 covers requirements for toxic gas sensors and oxygen sensors. The </w:t>
      </w:r>
      <w:proofErr w:type="gramStart"/>
      <w:r>
        <w:rPr>
          <w:rFonts w:ascii="Arial" w:eastAsia="Arial" w:hAnsi="Arial" w:cs="Arial"/>
        </w:rPr>
        <w:t>t(</w:t>
      </w:r>
      <w:proofErr w:type="gramEnd"/>
      <w:r>
        <w:rPr>
          <w:rFonts w:ascii="Arial" w:eastAsia="Arial" w:hAnsi="Arial" w:cs="Arial"/>
        </w:rPr>
        <w:t xml:space="preserve">50) and the t(90) for these gases is 20 seconds and 60 seconds respectively. </w:t>
      </w:r>
    </w:p>
    <w:p w14:paraId="55207A87" w14:textId="77777777" w:rsidR="00031F6C" w:rsidRDefault="00251FC2">
      <w:pPr>
        <w:spacing w:after="0"/>
        <w:ind w:left="1"/>
      </w:pPr>
      <w:r>
        <w:rPr>
          <w:rFonts w:ascii="Arial" w:eastAsia="Arial" w:hAnsi="Arial" w:cs="Arial"/>
        </w:rPr>
        <w:t xml:space="preserve"> </w:t>
      </w:r>
    </w:p>
    <w:p w14:paraId="5A0978F0" w14:textId="77777777" w:rsidR="00031F6C" w:rsidRDefault="00251FC2">
      <w:pPr>
        <w:spacing w:after="5" w:line="249" w:lineRule="auto"/>
        <w:ind w:left="-3" w:hanging="10"/>
      </w:pPr>
      <w:r>
        <w:rPr>
          <w:rFonts w:ascii="Arial" w:eastAsia="Arial" w:hAnsi="Arial" w:cs="Arial"/>
        </w:rPr>
        <w:t xml:space="preserve">Note that </w:t>
      </w:r>
      <w:proofErr w:type="gramStart"/>
      <w:r>
        <w:rPr>
          <w:rFonts w:ascii="Arial" w:eastAsia="Arial" w:hAnsi="Arial" w:cs="Arial"/>
        </w:rPr>
        <w:t>t(</w:t>
      </w:r>
      <w:proofErr w:type="gramEnd"/>
      <w:r>
        <w:rPr>
          <w:rFonts w:ascii="Arial" w:eastAsia="Arial" w:hAnsi="Arial" w:cs="Arial"/>
        </w:rPr>
        <w:t>50) and t(90) values are determined by the design of the gas detector and not by the</w:t>
      </w:r>
      <w:r>
        <w:rPr>
          <w:rFonts w:ascii="Arial" w:eastAsia="Arial" w:hAnsi="Arial" w:cs="Arial"/>
        </w:rPr>
        <w:t xml:space="preserve"> concentration of the gas to which the detector is exposed. The following table shows the gas detector reading and the times to reach </w:t>
      </w:r>
      <w:proofErr w:type="gramStart"/>
      <w:r>
        <w:rPr>
          <w:rFonts w:ascii="Arial" w:eastAsia="Arial" w:hAnsi="Arial" w:cs="Arial"/>
        </w:rPr>
        <w:t>t(</w:t>
      </w:r>
      <w:proofErr w:type="gramEnd"/>
      <w:r>
        <w:rPr>
          <w:rFonts w:ascii="Arial" w:eastAsia="Arial" w:hAnsi="Arial" w:cs="Arial"/>
        </w:rPr>
        <w:t>50) and t(90) values respectively when a methane detector is moved from 0.0% methane to the prescribed methane concentra</w:t>
      </w:r>
      <w:r>
        <w:rPr>
          <w:rFonts w:ascii="Arial" w:eastAsia="Arial" w:hAnsi="Arial" w:cs="Arial"/>
        </w:rPr>
        <w:t xml:space="preserve">tion </w:t>
      </w:r>
    </w:p>
    <w:p w14:paraId="38717E9B" w14:textId="77777777" w:rsidR="00031F6C" w:rsidRDefault="00251FC2">
      <w:pPr>
        <w:spacing w:after="0"/>
        <w:ind w:left="1" w:right="1945"/>
      </w:pPr>
      <w:r>
        <w:rPr>
          <w:rFonts w:ascii="Arial" w:eastAsia="Arial" w:hAnsi="Arial" w:cs="Arial"/>
        </w:rPr>
        <w:t xml:space="preserve"> </w:t>
      </w:r>
    </w:p>
    <w:tbl>
      <w:tblPr>
        <w:tblStyle w:val="TableGrid"/>
        <w:tblW w:w="7090" w:type="dxa"/>
        <w:tblInd w:w="1738" w:type="dxa"/>
        <w:tblCellMar>
          <w:top w:w="42" w:type="dxa"/>
          <w:left w:w="110" w:type="dxa"/>
          <w:bottom w:w="0" w:type="dxa"/>
          <w:right w:w="55" w:type="dxa"/>
        </w:tblCellMar>
        <w:tblLook w:val="04A0" w:firstRow="1" w:lastRow="0" w:firstColumn="1" w:lastColumn="0" w:noHBand="0" w:noVBand="1"/>
      </w:tblPr>
      <w:tblGrid>
        <w:gridCol w:w="1421"/>
        <w:gridCol w:w="1416"/>
        <w:gridCol w:w="1416"/>
        <w:gridCol w:w="1421"/>
        <w:gridCol w:w="1416"/>
      </w:tblGrid>
      <w:tr w:rsidR="00031F6C" w14:paraId="178208A2" w14:textId="77777777">
        <w:trPr>
          <w:trHeight w:val="302"/>
        </w:trPr>
        <w:tc>
          <w:tcPr>
            <w:tcW w:w="1421" w:type="dxa"/>
            <w:vMerge w:val="restart"/>
            <w:tcBorders>
              <w:top w:val="single" w:sz="4" w:space="0" w:color="000000"/>
              <w:left w:val="single" w:sz="4" w:space="0" w:color="000000"/>
              <w:bottom w:val="single" w:sz="4" w:space="0" w:color="000000"/>
              <w:right w:val="single" w:sz="4" w:space="0" w:color="000000"/>
            </w:tcBorders>
          </w:tcPr>
          <w:p w14:paraId="7512DDF7" w14:textId="77777777" w:rsidR="00031F6C" w:rsidRDefault="00251FC2">
            <w:pPr>
              <w:spacing w:after="0"/>
              <w:jc w:val="center"/>
            </w:pPr>
            <w:r>
              <w:rPr>
                <w:rFonts w:ascii="Arial" w:eastAsia="Arial" w:hAnsi="Arial" w:cs="Arial"/>
                <w:sz w:val="20"/>
              </w:rPr>
              <w:t xml:space="preserve">Methane concentration </w:t>
            </w:r>
          </w:p>
        </w:tc>
        <w:tc>
          <w:tcPr>
            <w:tcW w:w="2832" w:type="dxa"/>
            <w:gridSpan w:val="2"/>
            <w:tcBorders>
              <w:top w:val="single" w:sz="4" w:space="0" w:color="000000"/>
              <w:left w:val="single" w:sz="4" w:space="0" w:color="000000"/>
              <w:bottom w:val="single" w:sz="4" w:space="0" w:color="000000"/>
              <w:right w:val="single" w:sz="4" w:space="0" w:color="000000"/>
            </w:tcBorders>
          </w:tcPr>
          <w:p w14:paraId="6FDA4EE1" w14:textId="77777777" w:rsidR="00031F6C" w:rsidRDefault="00251FC2">
            <w:pPr>
              <w:spacing w:after="0"/>
              <w:ind w:right="56"/>
              <w:jc w:val="center"/>
            </w:pPr>
            <w:proofErr w:type="gramStart"/>
            <w:r>
              <w:rPr>
                <w:rFonts w:ascii="Arial" w:eastAsia="Arial" w:hAnsi="Arial" w:cs="Arial"/>
                <w:sz w:val="20"/>
              </w:rPr>
              <w:t>t(</w:t>
            </w:r>
            <w:proofErr w:type="gramEnd"/>
            <w:r>
              <w:rPr>
                <w:rFonts w:ascii="Arial" w:eastAsia="Arial" w:hAnsi="Arial" w:cs="Arial"/>
                <w:sz w:val="20"/>
              </w:rPr>
              <w:t xml:space="preserve">50) </w:t>
            </w:r>
          </w:p>
        </w:tc>
        <w:tc>
          <w:tcPr>
            <w:tcW w:w="2837" w:type="dxa"/>
            <w:gridSpan w:val="2"/>
            <w:tcBorders>
              <w:top w:val="single" w:sz="4" w:space="0" w:color="000000"/>
              <w:left w:val="single" w:sz="4" w:space="0" w:color="000000"/>
              <w:bottom w:val="single" w:sz="4" w:space="0" w:color="000000"/>
              <w:right w:val="single" w:sz="4" w:space="0" w:color="000000"/>
            </w:tcBorders>
          </w:tcPr>
          <w:p w14:paraId="2510FB36" w14:textId="77777777" w:rsidR="00031F6C" w:rsidRDefault="00251FC2">
            <w:pPr>
              <w:spacing w:after="0"/>
              <w:ind w:right="51"/>
              <w:jc w:val="center"/>
            </w:pPr>
            <w:proofErr w:type="gramStart"/>
            <w:r>
              <w:rPr>
                <w:rFonts w:ascii="Arial" w:eastAsia="Arial" w:hAnsi="Arial" w:cs="Arial"/>
                <w:sz w:val="20"/>
              </w:rPr>
              <w:t>t(</w:t>
            </w:r>
            <w:proofErr w:type="gramEnd"/>
            <w:r>
              <w:rPr>
                <w:rFonts w:ascii="Arial" w:eastAsia="Arial" w:hAnsi="Arial" w:cs="Arial"/>
                <w:sz w:val="20"/>
              </w:rPr>
              <w:t xml:space="preserve">90) </w:t>
            </w:r>
          </w:p>
        </w:tc>
      </w:tr>
      <w:tr w:rsidR="00031F6C" w14:paraId="6A35E2C1" w14:textId="77777777">
        <w:trPr>
          <w:trHeight w:val="322"/>
        </w:trPr>
        <w:tc>
          <w:tcPr>
            <w:tcW w:w="0" w:type="auto"/>
            <w:vMerge/>
            <w:tcBorders>
              <w:top w:val="nil"/>
              <w:left w:val="single" w:sz="4" w:space="0" w:color="000000"/>
              <w:bottom w:val="single" w:sz="4" w:space="0" w:color="000000"/>
              <w:right w:val="single" w:sz="4" w:space="0" w:color="000000"/>
            </w:tcBorders>
          </w:tcPr>
          <w:p w14:paraId="7291E34C" w14:textId="77777777" w:rsidR="00031F6C" w:rsidRDefault="00031F6C"/>
        </w:tc>
        <w:tc>
          <w:tcPr>
            <w:tcW w:w="1416" w:type="dxa"/>
            <w:tcBorders>
              <w:top w:val="single" w:sz="4" w:space="0" w:color="000000"/>
              <w:left w:val="single" w:sz="4" w:space="0" w:color="000000"/>
              <w:bottom w:val="single" w:sz="4" w:space="0" w:color="000000"/>
              <w:right w:val="single" w:sz="4" w:space="0" w:color="000000"/>
            </w:tcBorders>
          </w:tcPr>
          <w:p w14:paraId="61C9E081" w14:textId="77777777" w:rsidR="00031F6C" w:rsidRDefault="00251FC2">
            <w:pPr>
              <w:spacing w:after="0"/>
              <w:ind w:right="63"/>
              <w:jc w:val="center"/>
            </w:pPr>
            <w:r>
              <w:rPr>
                <w:rFonts w:ascii="Arial" w:eastAsia="Arial" w:hAnsi="Arial" w:cs="Arial"/>
              </w:rPr>
              <w:t xml:space="preserve">Reading </w:t>
            </w:r>
          </w:p>
        </w:tc>
        <w:tc>
          <w:tcPr>
            <w:tcW w:w="1416" w:type="dxa"/>
            <w:tcBorders>
              <w:top w:val="single" w:sz="4" w:space="0" w:color="000000"/>
              <w:left w:val="single" w:sz="4" w:space="0" w:color="000000"/>
              <w:bottom w:val="single" w:sz="4" w:space="0" w:color="000000"/>
              <w:right w:val="single" w:sz="4" w:space="0" w:color="000000"/>
            </w:tcBorders>
          </w:tcPr>
          <w:p w14:paraId="18B6A57C" w14:textId="77777777" w:rsidR="00031F6C" w:rsidRDefault="00251FC2">
            <w:pPr>
              <w:spacing w:after="0"/>
              <w:ind w:right="53"/>
              <w:jc w:val="center"/>
            </w:pPr>
            <w:r>
              <w:rPr>
                <w:rFonts w:ascii="Arial" w:eastAsia="Arial" w:hAnsi="Arial" w:cs="Arial"/>
              </w:rPr>
              <w:t xml:space="preserve">Time </w:t>
            </w:r>
          </w:p>
        </w:tc>
        <w:tc>
          <w:tcPr>
            <w:tcW w:w="1421" w:type="dxa"/>
            <w:tcBorders>
              <w:top w:val="single" w:sz="4" w:space="0" w:color="000000"/>
              <w:left w:val="single" w:sz="4" w:space="0" w:color="000000"/>
              <w:bottom w:val="single" w:sz="4" w:space="0" w:color="000000"/>
              <w:right w:val="single" w:sz="4" w:space="0" w:color="000000"/>
            </w:tcBorders>
          </w:tcPr>
          <w:p w14:paraId="31F739C0" w14:textId="77777777" w:rsidR="00031F6C" w:rsidRDefault="00251FC2">
            <w:pPr>
              <w:spacing w:after="0"/>
              <w:ind w:right="58"/>
              <w:jc w:val="center"/>
            </w:pPr>
            <w:r>
              <w:rPr>
                <w:rFonts w:ascii="Arial" w:eastAsia="Arial" w:hAnsi="Arial" w:cs="Arial"/>
              </w:rPr>
              <w:t xml:space="preserve">Reading </w:t>
            </w:r>
          </w:p>
        </w:tc>
        <w:tc>
          <w:tcPr>
            <w:tcW w:w="1416" w:type="dxa"/>
            <w:tcBorders>
              <w:top w:val="single" w:sz="4" w:space="0" w:color="000000"/>
              <w:left w:val="single" w:sz="4" w:space="0" w:color="000000"/>
              <w:bottom w:val="single" w:sz="4" w:space="0" w:color="000000"/>
              <w:right w:val="single" w:sz="4" w:space="0" w:color="000000"/>
            </w:tcBorders>
          </w:tcPr>
          <w:p w14:paraId="746F3AF6" w14:textId="77777777" w:rsidR="00031F6C" w:rsidRDefault="00251FC2">
            <w:pPr>
              <w:spacing w:after="0"/>
              <w:ind w:right="63"/>
              <w:jc w:val="center"/>
            </w:pPr>
            <w:r>
              <w:rPr>
                <w:rFonts w:ascii="Arial" w:eastAsia="Arial" w:hAnsi="Arial" w:cs="Arial"/>
              </w:rPr>
              <w:t xml:space="preserve">Time </w:t>
            </w:r>
          </w:p>
        </w:tc>
      </w:tr>
      <w:tr w:rsidR="00031F6C" w14:paraId="64021CFB" w14:textId="77777777">
        <w:trPr>
          <w:trHeight w:val="326"/>
        </w:trPr>
        <w:tc>
          <w:tcPr>
            <w:tcW w:w="1421" w:type="dxa"/>
            <w:tcBorders>
              <w:top w:val="single" w:sz="4" w:space="0" w:color="000000"/>
              <w:left w:val="single" w:sz="4" w:space="0" w:color="000000"/>
              <w:bottom w:val="single" w:sz="4" w:space="0" w:color="000000"/>
              <w:right w:val="single" w:sz="4" w:space="0" w:color="000000"/>
            </w:tcBorders>
          </w:tcPr>
          <w:p w14:paraId="3048FBD4" w14:textId="77777777" w:rsidR="00031F6C" w:rsidRDefault="00251FC2">
            <w:pPr>
              <w:spacing w:after="0"/>
              <w:ind w:right="52"/>
              <w:jc w:val="center"/>
            </w:pPr>
            <w:r>
              <w:rPr>
                <w:rFonts w:ascii="Arial" w:eastAsia="Arial" w:hAnsi="Arial" w:cs="Arial"/>
              </w:rPr>
              <w:t xml:space="preserve">5.0% </w:t>
            </w:r>
          </w:p>
        </w:tc>
        <w:tc>
          <w:tcPr>
            <w:tcW w:w="1416" w:type="dxa"/>
            <w:tcBorders>
              <w:top w:val="single" w:sz="4" w:space="0" w:color="000000"/>
              <w:left w:val="single" w:sz="4" w:space="0" w:color="000000"/>
              <w:bottom w:val="single" w:sz="4" w:space="0" w:color="000000"/>
              <w:right w:val="single" w:sz="4" w:space="0" w:color="000000"/>
            </w:tcBorders>
          </w:tcPr>
          <w:p w14:paraId="7AF1B533" w14:textId="77777777" w:rsidR="00031F6C" w:rsidRDefault="00251FC2">
            <w:pPr>
              <w:spacing w:after="0"/>
              <w:ind w:right="56"/>
              <w:jc w:val="center"/>
            </w:pPr>
            <w:r>
              <w:rPr>
                <w:rFonts w:ascii="Arial" w:eastAsia="Arial" w:hAnsi="Arial" w:cs="Arial"/>
              </w:rPr>
              <w:t xml:space="preserve">2.5% </w:t>
            </w:r>
          </w:p>
        </w:tc>
        <w:tc>
          <w:tcPr>
            <w:tcW w:w="1416" w:type="dxa"/>
            <w:tcBorders>
              <w:top w:val="single" w:sz="4" w:space="0" w:color="000000"/>
              <w:left w:val="single" w:sz="4" w:space="0" w:color="000000"/>
              <w:bottom w:val="single" w:sz="4" w:space="0" w:color="000000"/>
              <w:right w:val="single" w:sz="4" w:space="0" w:color="000000"/>
            </w:tcBorders>
          </w:tcPr>
          <w:p w14:paraId="25C166C8" w14:textId="77777777" w:rsidR="00031F6C" w:rsidRDefault="00251FC2">
            <w:pPr>
              <w:spacing w:after="0"/>
              <w:ind w:right="51"/>
              <w:jc w:val="center"/>
            </w:pPr>
            <w:r>
              <w:rPr>
                <w:rFonts w:ascii="Arial" w:eastAsia="Arial" w:hAnsi="Arial" w:cs="Arial"/>
              </w:rPr>
              <w:t xml:space="preserve">&lt;10 secs </w:t>
            </w:r>
          </w:p>
        </w:tc>
        <w:tc>
          <w:tcPr>
            <w:tcW w:w="1421" w:type="dxa"/>
            <w:tcBorders>
              <w:top w:val="single" w:sz="4" w:space="0" w:color="000000"/>
              <w:left w:val="single" w:sz="4" w:space="0" w:color="000000"/>
              <w:bottom w:val="single" w:sz="4" w:space="0" w:color="000000"/>
              <w:right w:val="single" w:sz="4" w:space="0" w:color="000000"/>
            </w:tcBorders>
          </w:tcPr>
          <w:p w14:paraId="0790C6E0" w14:textId="77777777" w:rsidR="00031F6C" w:rsidRDefault="00251FC2">
            <w:pPr>
              <w:spacing w:after="0"/>
              <w:ind w:right="52"/>
              <w:jc w:val="center"/>
            </w:pPr>
            <w:r>
              <w:rPr>
                <w:rFonts w:ascii="Arial" w:eastAsia="Arial" w:hAnsi="Arial" w:cs="Arial"/>
              </w:rPr>
              <w:t xml:space="preserve">4.5% </w:t>
            </w:r>
          </w:p>
        </w:tc>
        <w:tc>
          <w:tcPr>
            <w:tcW w:w="1416" w:type="dxa"/>
            <w:tcBorders>
              <w:top w:val="single" w:sz="4" w:space="0" w:color="000000"/>
              <w:left w:val="single" w:sz="4" w:space="0" w:color="000000"/>
              <w:bottom w:val="single" w:sz="4" w:space="0" w:color="000000"/>
              <w:right w:val="single" w:sz="4" w:space="0" w:color="000000"/>
            </w:tcBorders>
          </w:tcPr>
          <w:p w14:paraId="582A2609" w14:textId="77777777" w:rsidR="00031F6C" w:rsidRDefault="00251FC2">
            <w:pPr>
              <w:spacing w:after="0"/>
              <w:ind w:right="60"/>
              <w:jc w:val="center"/>
            </w:pPr>
            <w:r>
              <w:rPr>
                <w:rFonts w:ascii="Arial" w:eastAsia="Arial" w:hAnsi="Arial" w:cs="Arial"/>
              </w:rPr>
              <w:t xml:space="preserve">&lt;30 secs </w:t>
            </w:r>
          </w:p>
        </w:tc>
      </w:tr>
      <w:tr w:rsidR="00031F6C" w14:paraId="4E9F1D70" w14:textId="77777777">
        <w:trPr>
          <w:trHeight w:val="379"/>
        </w:trPr>
        <w:tc>
          <w:tcPr>
            <w:tcW w:w="1421" w:type="dxa"/>
            <w:tcBorders>
              <w:top w:val="single" w:sz="4" w:space="0" w:color="000000"/>
              <w:left w:val="single" w:sz="4" w:space="0" w:color="000000"/>
              <w:bottom w:val="single" w:sz="4" w:space="0" w:color="000000"/>
              <w:right w:val="single" w:sz="4" w:space="0" w:color="000000"/>
            </w:tcBorders>
          </w:tcPr>
          <w:p w14:paraId="401EB0BC" w14:textId="77777777" w:rsidR="00031F6C" w:rsidRDefault="00251FC2">
            <w:pPr>
              <w:spacing w:after="0"/>
              <w:ind w:right="52"/>
              <w:jc w:val="center"/>
            </w:pPr>
            <w:r>
              <w:rPr>
                <w:rFonts w:ascii="Arial" w:eastAsia="Arial" w:hAnsi="Arial" w:cs="Arial"/>
              </w:rPr>
              <w:t xml:space="preserve">2.5% </w:t>
            </w:r>
          </w:p>
        </w:tc>
        <w:tc>
          <w:tcPr>
            <w:tcW w:w="1416" w:type="dxa"/>
            <w:tcBorders>
              <w:top w:val="single" w:sz="4" w:space="0" w:color="000000"/>
              <w:left w:val="single" w:sz="4" w:space="0" w:color="000000"/>
              <w:bottom w:val="single" w:sz="4" w:space="0" w:color="000000"/>
              <w:right w:val="single" w:sz="4" w:space="0" w:color="000000"/>
            </w:tcBorders>
          </w:tcPr>
          <w:p w14:paraId="746EF72F" w14:textId="77777777" w:rsidR="00031F6C" w:rsidRDefault="00251FC2">
            <w:pPr>
              <w:spacing w:after="0"/>
              <w:ind w:right="56"/>
              <w:jc w:val="center"/>
            </w:pPr>
            <w:r>
              <w:rPr>
                <w:rFonts w:ascii="Arial" w:eastAsia="Arial" w:hAnsi="Arial" w:cs="Arial"/>
              </w:rPr>
              <w:t xml:space="preserve">1.25% </w:t>
            </w:r>
          </w:p>
        </w:tc>
        <w:tc>
          <w:tcPr>
            <w:tcW w:w="1416" w:type="dxa"/>
            <w:tcBorders>
              <w:top w:val="single" w:sz="4" w:space="0" w:color="000000"/>
              <w:left w:val="single" w:sz="4" w:space="0" w:color="000000"/>
              <w:bottom w:val="single" w:sz="4" w:space="0" w:color="000000"/>
              <w:right w:val="single" w:sz="4" w:space="0" w:color="000000"/>
            </w:tcBorders>
          </w:tcPr>
          <w:p w14:paraId="600DAC93" w14:textId="77777777" w:rsidR="00031F6C" w:rsidRDefault="00251FC2">
            <w:pPr>
              <w:spacing w:after="0"/>
              <w:ind w:right="51"/>
              <w:jc w:val="center"/>
            </w:pPr>
            <w:r>
              <w:rPr>
                <w:rFonts w:ascii="Arial" w:eastAsia="Arial" w:hAnsi="Arial" w:cs="Arial"/>
              </w:rPr>
              <w:t xml:space="preserve">&lt;10 secs </w:t>
            </w:r>
          </w:p>
        </w:tc>
        <w:tc>
          <w:tcPr>
            <w:tcW w:w="1421" w:type="dxa"/>
            <w:tcBorders>
              <w:top w:val="single" w:sz="4" w:space="0" w:color="000000"/>
              <w:left w:val="single" w:sz="4" w:space="0" w:color="000000"/>
              <w:bottom w:val="single" w:sz="4" w:space="0" w:color="000000"/>
              <w:right w:val="single" w:sz="4" w:space="0" w:color="000000"/>
            </w:tcBorders>
          </w:tcPr>
          <w:p w14:paraId="07A26FD4" w14:textId="77777777" w:rsidR="00031F6C" w:rsidRDefault="00251FC2">
            <w:pPr>
              <w:spacing w:after="0"/>
              <w:ind w:right="51"/>
              <w:jc w:val="center"/>
            </w:pPr>
            <w:r>
              <w:rPr>
                <w:rFonts w:ascii="Arial" w:eastAsia="Arial" w:hAnsi="Arial" w:cs="Arial"/>
              </w:rPr>
              <w:t xml:space="preserve">2.25% </w:t>
            </w:r>
          </w:p>
        </w:tc>
        <w:tc>
          <w:tcPr>
            <w:tcW w:w="1416" w:type="dxa"/>
            <w:tcBorders>
              <w:top w:val="single" w:sz="4" w:space="0" w:color="000000"/>
              <w:left w:val="single" w:sz="4" w:space="0" w:color="000000"/>
              <w:bottom w:val="single" w:sz="4" w:space="0" w:color="000000"/>
              <w:right w:val="single" w:sz="4" w:space="0" w:color="000000"/>
            </w:tcBorders>
          </w:tcPr>
          <w:p w14:paraId="7DA8C51E" w14:textId="77777777" w:rsidR="00031F6C" w:rsidRDefault="00251FC2">
            <w:pPr>
              <w:spacing w:after="0"/>
              <w:ind w:right="60"/>
              <w:jc w:val="center"/>
            </w:pPr>
            <w:r>
              <w:rPr>
                <w:rFonts w:ascii="Arial" w:eastAsia="Arial" w:hAnsi="Arial" w:cs="Arial"/>
              </w:rPr>
              <w:t xml:space="preserve">&lt;30 secs </w:t>
            </w:r>
          </w:p>
        </w:tc>
      </w:tr>
      <w:tr w:rsidR="00031F6C" w14:paraId="08C69943" w14:textId="77777777">
        <w:trPr>
          <w:trHeight w:val="384"/>
        </w:trPr>
        <w:tc>
          <w:tcPr>
            <w:tcW w:w="1421" w:type="dxa"/>
            <w:tcBorders>
              <w:top w:val="single" w:sz="4" w:space="0" w:color="000000"/>
              <w:left w:val="single" w:sz="4" w:space="0" w:color="000000"/>
              <w:bottom w:val="single" w:sz="4" w:space="0" w:color="000000"/>
              <w:right w:val="single" w:sz="4" w:space="0" w:color="000000"/>
            </w:tcBorders>
          </w:tcPr>
          <w:p w14:paraId="4939302C" w14:textId="77777777" w:rsidR="00031F6C" w:rsidRDefault="00251FC2">
            <w:pPr>
              <w:spacing w:after="0"/>
              <w:ind w:right="52"/>
              <w:jc w:val="center"/>
            </w:pPr>
            <w:r>
              <w:rPr>
                <w:rFonts w:ascii="Arial" w:eastAsia="Arial" w:hAnsi="Arial" w:cs="Arial"/>
              </w:rPr>
              <w:t xml:space="preserve">1.25% </w:t>
            </w:r>
          </w:p>
        </w:tc>
        <w:tc>
          <w:tcPr>
            <w:tcW w:w="1416" w:type="dxa"/>
            <w:tcBorders>
              <w:top w:val="single" w:sz="4" w:space="0" w:color="000000"/>
              <w:left w:val="single" w:sz="4" w:space="0" w:color="000000"/>
              <w:bottom w:val="single" w:sz="4" w:space="0" w:color="000000"/>
              <w:right w:val="single" w:sz="4" w:space="0" w:color="000000"/>
            </w:tcBorders>
          </w:tcPr>
          <w:p w14:paraId="31F9E3B3" w14:textId="77777777" w:rsidR="00031F6C" w:rsidRDefault="00251FC2">
            <w:pPr>
              <w:spacing w:after="0"/>
              <w:ind w:right="56"/>
              <w:jc w:val="center"/>
            </w:pPr>
            <w:r>
              <w:rPr>
                <w:rFonts w:ascii="Arial" w:eastAsia="Arial" w:hAnsi="Arial" w:cs="Arial"/>
              </w:rPr>
              <w:t xml:space="preserve">0.63% </w:t>
            </w:r>
          </w:p>
        </w:tc>
        <w:tc>
          <w:tcPr>
            <w:tcW w:w="1416" w:type="dxa"/>
            <w:tcBorders>
              <w:top w:val="single" w:sz="4" w:space="0" w:color="000000"/>
              <w:left w:val="single" w:sz="4" w:space="0" w:color="000000"/>
              <w:bottom w:val="single" w:sz="4" w:space="0" w:color="000000"/>
              <w:right w:val="single" w:sz="4" w:space="0" w:color="000000"/>
            </w:tcBorders>
          </w:tcPr>
          <w:p w14:paraId="5AA10A17" w14:textId="77777777" w:rsidR="00031F6C" w:rsidRDefault="00251FC2">
            <w:pPr>
              <w:spacing w:after="0"/>
              <w:ind w:right="51"/>
              <w:jc w:val="center"/>
            </w:pPr>
            <w:r>
              <w:rPr>
                <w:rFonts w:ascii="Arial" w:eastAsia="Arial" w:hAnsi="Arial" w:cs="Arial"/>
              </w:rPr>
              <w:t xml:space="preserve">&lt;10 secs </w:t>
            </w:r>
          </w:p>
        </w:tc>
        <w:tc>
          <w:tcPr>
            <w:tcW w:w="1421" w:type="dxa"/>
            <w:tcBorders>
              <w:top w:val="single" w:sz="4" w:space="0" w:color="000000"/>
              <w:left w:val="single" w:sz="4" w:space="0" w:color="000000"/>
              <w:bottom w:val="single" w:sz="4" w:space="0" w:color="000000"/>
              <w:right w:val="single" w:sz="4" w:space="0" w:color="000000"/>
            </w:tcBorders>
          </w:tcPr>
          <w:p w14:paraId="6F0CF9CE" w14:textId="77777777" w:rsidR="00031F6C" w:rsidRDefault="00251FC2">
            <w:pPr>
              <w:spacing w:after="0"/>
              <w:ind w:right="51"/>
              <w:jc w:val="center"/>
            </w:pPr>
            <w:r>
              <w:rPr>
                <w:rFonts w:ascii="Arial" w:eastAsia="Arial" w:hAnsi="Arial" w:cs="Arial"/>
              </w:rPr>
              <w:t xml:space="preserve">1.13% </w:t>
            </w:r>
          </w:p>
        </w:tc>
        <w:tc>
          <w:tcPr>
            <w:tcW w:w="1416" w:type="dxa"/>
            <w:tcBorders>
              <w:top w:val="single" w:sz="4" w:space="0" w:color="000000"/>
              <w:left w:val="single" w:sz="4" w:space="0" w:color="000000"/>
              <w:bottom w:val="single" w:sz="4" w:space="0" w:color="000000"/>
              <w:right w:val="single" w:sz="4" w:space="0" w:color="000000"/>
            </w:tcBorders>
          </w:tcPr>
          <w:p w14:paraId="5FD851CA" w14:textId="77777777" w:rsidR="00031F6C" w:rsidRDefault="00251FC2">
            <w:pPr>
              <w:spacing w:after="0"/>
              <w:ind w:right="61"/>
              <w:jc w:val="center"/>
            </w:pPr>
            <w:r>
              <w:rPr>
                <w:rFonts w:ascii="Arial" w:eastAsia="Arial" w:hAnsi="Arial" w:cs="Arial"/>
              </w:rPr>
              <w:t xml:space="preserve">&lt;30 secs </w:t>
            </w:r>
          </w:p>
        </w:tc>
      </w:tr>
    </w:tbl>
    <w:p w14:paraId="45F261E0" w14:textId="77777777" w:rsidR="00031F6C" w:rsidRDefault="00251FC2">
      <w:pPr>
        <w:spacing w:after="163"/>
        <w:ind w:right="1945"/>
      </w:pPr>
      <w:r>
        <w:rPr>
          <w:rFonts w:ascii="Arial" w:eastAsia="Arial" w:hAnsi="Arial" w:cs="Arial"/>
        </w:rPr>
        <w:lastRenderedPageBreak/>
        <w:t xml:space="preserve"> </w:t>
      </w:r>
    </w:p>
    <w:p w14:paraId="7EA1B39A" w14:textId="77777777" w:rsidR="00031F6C" w:rsidRDefault="00251FC2">
      <w:pPr>
        <w:spacing w:after="80"/>
        <w:ind w:left="-28" w:right="-28"/>
      </w:pPr>
      <w:r>
        <w:rPr>
          <w:noProof/>
        </w:rPr>
        <mc:AlternateContent>
          <mc:Choice Requires="wpg">
            <w:drawing>
              <wp:inline distT="0" distB="0" distL="0" distR="0" wp14:anchorId="3609E876" wp14:editId="3527D31B">
                <wp:extent cx="6876288" cy="18288"/>
                <wp:effectExtent l="0" t="0" r="0" b="0"/>
                <wp:docPr id="3181" name="Group 3181"/>
                <wp:cNvGraphicFramePr/>
                <a:graphic xmlns:a="http://schemas.openxmlformats.org/drawingml/2006/main">
                  <a:graphicData uri="http://schemas.microsoft.com/office/word/2010/wordprocessingGroup">
                    <wpg:wgp>
                      <wpg:cNvGrpSpPr/>
                      <wpg:grpSpPr>
                        <a:xfrm>
                          <a:off x="0" y="0"/>
                          <a:ext cx="6876288" cy="18288"/>
                          <a:chOff x="0" y="0"/>
                          <a:chExt cx="6876288" cy="18288"/>
                        </a:xfrm>
                      </wpg:grpSpPr>
                      <wps:wsp>
                        <wps:cNvPr id="3518" name="Shape 3518"/>
                        <wps:cNvSpPr/>
                        <wps:spPr>
                          <a:xfrm>
                            <a:off x="0" y="0"/>
                            <a:ext cx="6876288" cy="18288"/>
                          </a:xfrm>
                          <a:custGeom>
                            <a:avLst/>
                            <a:gdLst/>
                            <a:ahLst/>
                            <a:cxnLst/>
                            <a:rect l="0" t="0" r="0" b="0"/>
                            <a:pathLst>
                              <a:path w="6876288" h="18288">
                                <a:moveTo>
                                  <a:pt x="0" y="0"/>
                                </a:moveTo>
                                <a:lnTo>
                                  <a:pt x="6876288" y="0"/>
                                </a:lnTo>
                                <a:lnTo>
                                  <a:pt x="6876288" y="18288"/>
                                </a:lnTo>
                                <a:lnTo>
                                  <a:pt x="0" y="18288"/>
                                </a:lnTo>
                                <a:lnTo>
                                  <a:pt x="0" y="0"/>
                                </a:lnTo>
                              </a:path>
                            </a:pathLst>
                          </a:custGeom>
                          <a:ln w="0" cap="flat">
                            <a:miter lim="127000"/>
                          </a:ln>
                        </wps:spPr>
                        <wps:style>
                          <a:lnRef idx="0">
                            <a:srgbClr val="000000">
                              <a:alpha val="0"/>
                            </a:srgbClr>
                          </a:lnRef>
                          <a:fillRef idx="1">
                            <a:srgbClr val="175B82"/>
                          </a:fillRef>
                          <a:effectRef idx="0">
                            <a:scrgbClr r="0" g="0" b="0"/>
                          </a:effectRef>
                          <a:fontRef idx="none"/>
                        </wps:style>
                        <wps:bodyPr/>
                      </wps:wsp>
                    </wpg:wgp>
                  </a:graphicData>
                </a:graphic>
              </wp:inline>
            </w:drawing>
          </mc:Choice>
          <mc:Fallback xmlns:a="http://schemas.openxmlformats.org/drawingml/2006/main">
            <w:pict>
              <v:group id="Group 3181" style="width:541.44pt;height:1.44pt;mso-position-horizontal-relative:char;mso-position-vertical-relative:line" coordsize="68762,182">
                <v:shape id="Shape 3519" style="position:absolute;width:68762;height:182;left:0;top:0;" coordsize="6876288,18288" path="m0,0l6876288,0l6876288,18288l0,18288l0,0">
                  <v:stroke weight="0pt" endcap="flat" joinstyle="miter" miterlimit="10" on="false" color="#000000" opacity="0"/>
                  <v:fill on="true" color="#175b82"/>
                </v:shape>
              </v:group>
            </w:pict>
          </mc:Fallback>
        </mc:AlternateContent>
      </w:r>
    </w:p>
    <w:p w14:paraId="1C7403FF" w14:textId="77777777" w:rsidR="00031F6C" w:rsidRDefault="00251FC2">
      <w:pPr>
        <w:spacing w:after="239"/>
        <w:ind w:left="10" w:right="-10" w:hanging="10"/>
        <w:jc w:val="right"/>
      </w:pPr>
      <w:r>
        <w:rPr>
          <w:rFonts w:ascii="Arial" w:eastAsia="Arial" w:hAnsi="Arial" w:cs="Arial"/>
          <w:color w:val="858586"/>
          <w:sz w:val="18"/>
        </w:rPr>
        <w:t xml:space="preserve">NSW Department of Planning and Environment, Resources Regulator, </w:t>
      </w:r>
      <w:r>
        <w:rPr>
          <w:rFonts w:ascii="Arial" w:eastAsia="Arial" w:hAnsi="Arial" w:cs="Arial"/>
          <w:b/>
          <w:color w:val="043E5C"/>
          <w:sz w:val="18"/>
        </w:rPr>
        <w:t>1</w:t>
      </w:r>
      <w:r>
        <w:rPr>
          <w:rFonts w:ascii="Arial" w:eastAsia="Arial" w:hAnsi="Arial" w:cs="Arial"/>
          <w:color w:val="858586"/>
          <w:sz w:val="18"/>
        </w:rPr>
        <w:t xml:space="preserve"> </w:t>
      </w:r>
    </w:p>
    <w:p w14:paraId="29CA1A97" w14:textId="77777777" w:rsidR="00031F6C" w:rsidRDefault="00251FC2">
      <w:pPr>
        <w:spacing w:after="0"/>
        <w:jc w:val="right"/>
      </w:pPr>
      <w:r>
        <w:rPr>
          <w:rFonts w:ascii="Arial" w:eastAsia="Arial" w:hAnsi="Arial" w:cs="Arial"/>
          <w:b/>
          <w:color w:val="043E5C"/>
          <w:sz w:val="18"/>
        </w:rPr>
        <w:t xml:space="preserve">Response times of gas detectors </w:t>
      </w:r>
    </w:p>
    <w:p w14:paraId="496ADB3C" w14:textId="77777777" w:rsidR="00031F6C" w:rsidRDefault="00251FC2">
      <w:pPr>
        <w:spacing w:after="493"/>
        <w:ind w:left="-28" w:right="-28"/>
      </w:pPr>
      <w:r>
        <w:rPr>
          <w:noProof/>
        </w:rPr>
        <mc:AlternateContent>
          <mc:Choice Requires="wpg">
            <w:drawing>
              <wp:inline distT="0" distB="0" distL="0" distR="0" wp14:anchorId="53DA7D49" wp14:editId="0005487E">
                <wp:extent cx="6876288" cy="18288"/>
                <wp:effectExtent l="0" t="0" r="0" b="0"/>
                <wp:docPr id="2739" name="Group 2739"/>
                <wp:cNvGraphicFramePr/>
                <a:graphic xmlns:a="http://schemas.openxmlformats.org/drawingml/2006/main">
                  <a:graphicData uri="http://schemas.microsoft.com/office/word/2010/wordprocessingGroup">
                    <wpg:wgp>
                      <wpg:cNvGrpSpPr/>
                      <wpg:grpSpPr>
                        <a:xfrm>
                          <a:off x="0" y="0"/>
                          <a:ext cx="6876288" cy="18288"/>
                          <a:chOff x="0" y="0"/>
                          <a:chExt cx="6876288" cy="18288"/>
                        </a:xfrm>
                      </wpg:grpSpPr>
                      <wps:wsp>
                        <wps:cNvPr id="3520" name="Shape 3520"/>
                        <wps:cNvSpPr/>
                        <wps:spPr>
                          <a:xfrm>
                            <a:off x="0" y="0"/>
                            <a:ext cx="6876288" cy="18288"/>
                          </a:xfrm>
                          <a:custGeom>
                            <a:avLst/>
                            <a:gdLst/>
                            <a:ahLst/>
                            <a:cxnLst/>
                            <a:rect l="0" t="0" r="0" b="0"/>
                            <a:pathLst>
                              <a:path w="6876288" h="18288">
                                <a:moveTo>
                                  <a:pt x="0" y="0"/>
                                </a:moveTo>
                                <a:lnTo>
                                  <a:pt x="6876288" y="0"/>
                                </a:lnTo>
                                <a:lnTo>
                                  <a:pt x="6876288" y="18288"/>
                                </a:lnTo>
                                <a:lnTo>
                                  <a:pt x="0" y="18288"/>
                                </a:lnTo>
                                <a:lnTo>
                                  <a:pt x="0" y="0"/>
                                </a:lnTo>
                              </a:path>
                            </a:pathLst>
                          </a:custGeom>
                          <a:ln w="0" cap="flat">
                            <a:miter lim="127000"/>
                          </a:ln>
                        </wps:spPr>
                        <wps:style>
                          <a:lnRef idx="0">
                            <a:srgbClr val="000000">
                              <a:alpha val="0"/>
                            </a:srgbClr>
                          </a:lnRef>
                          <a:fillRef idx="1">
                            <a:srgbClr val="175B82"/>
                          </a:fillRef>
                          <a:effectRef idx="0">
                            <a:scrgbClr r="0" g="0" b="0"/>
                          </a:effectRef>
                          <a:fontRef idx="none"/>
                        </wps:style>
                        <wps:bodyPr/>
                      </wps:wsp>
                    </wpg:wgp>
                  </a:graphicData>
                </a:graphic>
              </wp:inline>
            </w:drawing>
          </mc:Choice>
          <mc:Fallback xmlns:a="http://schemas.openxmlformats.org/drawingml/2006/main">
            <w:pict>
              <v:group id="Group 2739" style="width:541.44pt;height:1.44pt;mso-position-horizontal-relative:char;mso-position-vertical-relative:line" coordsize="68762,182">
                <v:shape id="Shape 3521" style="position:absolute;width:68762;height:182;left:0;top:0;" coordsize="6876288,18288" path="m0,0l6876288,0l6876288,18288l0,18288l0,0">
                  <v:stroke weight="0pt" endcap="flat" joinstyle="miter" miterlimit="10" on="false" color="#000000" opacity="0"/>
                  <v:fill on="true" color="#175b82"/>
                </v:shape>
              </v:group>
            </w:pict>
          </mc:Fallback>
        </mc:AlternateContent>
      </w:r>
    </w:p>
    <w:p w14:paraId="23697879" w14:textId="77777777" w:rsidR="00031F6C" w:rsidRDefault="00251FC2">
      <w:pPr>
        <w:spacing w:after="0"/>
      </w:pPr>
      <w:r>
        <w:rPr>
          <w:rFonts w:ascii="Arial" w:eastAsia="Arial" w:hAnsi="Arial" w:cs="Arial"/>
        </w:rPr>
        <w:t xml:space="preserve"> </w:t>
      </w:r>
    </w:p>
    <w:p w14:paraId="203F6E1C" w14:textId="77777777" w:rsidR="00031F6C" w:rsidRDefault="00251FC2">
      <w:pPr>
        <w:spacing w:after="519" w:line="240" w:lineRule="auto"/>
        <w:ind w:left="-4" w:right="214" w:hanging="10"/>
        <w:jc w:val="both"/>
      </w:pPr>
      <w:r>
        <w:rPr>
          <w:rFonts w:ascii="Arial" w:eastAsia="Arial" w:hAnsi="Arial" w:cs="Arial"/>
        </w:rPr>
        <w:t>The average person will walk between three and four metres per second. At this pace, a person may travel a significant distance into a hazardous or dan</w:t>
      </w:r>
      <w:r>
        <w:rPr>
          <w:rFonts w:ascii="Arial" w:eastAsia="Arial" w:hAnsi="Arial" w:cs="Arial"/>
        </w:rPr>
        <w:t xml:space="preserve">gerous environment before a gas detector alarms and starts to indicate elevated levels of gas. </w:t>
      </w:r>
    </w:p>
    <w:p w14:paraId="3C6FEBD5" w14:textId="77777777" w:rsidR="00031F6C" w:rsidRDefault="00251FC2">
      <w:pPr>
        <w:pStyle w:val="Heading2"/>
        <w:ind w:left="-5"/>
      </w:pPr>
      <w:r>
        <w:t xml:space="preserve">Recommendations </w:t>
      </w:r>
    </w:p>
    <w:p w14:paraId="2CB7250B" w14:textId="77777777" w:rsidR="00031F6C" w:rsidRDefault="00251FC2">
      <w:pPr>
        <w:spacing w:after="101" w:line="268" w:lineRule="auto"/>
        <w:ind w:left="10" w:hanging="10"/>
      </w:pPr>
      <w:r>
        <w:rPr>
          <w:rFonts w:ascii="Arial" w:eastAsia="Arial" w:hAnsi="Arial" w:cs="Arial"/>
          <w:color w:val="0C0C0C"/>
        </w:rPr>
        <w:t xml:space="preserve">Mine operators should: </w:t>
      </w:r>
    </w:p>
    <w:p w14:paraId="0914E899" w14:textId="77777777" w:rsidR="00031F6C" w:rsidRDefault="00251FC2">
      <w:pPr>
        <w:numPr>
          <w:ilvl w:val="0"/>
          <w:numId w:val="1"/>
        </w:numPr>
        <w:spacing w:after="60" w:line="268" w:lineRule="auto"/>
        <w:ind w:hanging="360"/>
      </w:pPr>
      <w:r>
        <w:rPr>
          <w:rFonts w:ascii="Arial" w:eastAsia="Arial" w:hAnsi="Arial" w:cs="Arial"/>
          <w:color w:val="0C0C0C"/>
        </w:rPr>
        <w:t xml:space="preserve">identify the response times for gas detectors in use at their </w:t>
      </w:r>
      <w:proofErr w:type="gramStart"/>
      <w:r>
        <w:rPr>
          <w:rFonts w:ascii="Arial" w:eastAsia="Arial" w:hAnsi="Arial" w:cs="Arial"/>
          <w:color w:val="0C0C0C"/>
        </w:rPr>
        <w:t>mine</w:t>
      </w:r>
      <w:proofErr w:type="gramEnd"/>
      <w:r>
        <w:rPr>
          <w:rFonts w:ascii="Arial" w:eastAsia="Arial" w:hAnsi="Arial" w:cs="Arial"/>
          <w:color w:val="0C0C0C"/>
        </w:rPr>
        <w:t xml:space="preserve"> </w:t>
      </w:r>
    </w:p>
    <w:p w14:paraId="022BE1A5" w14:textId="77777777" w:rsidR="00031F6C" w:rsidRDefault="00251FC2">
      <w:pPr>
        <w:numPr>
          <w:ilvl w:val="0"/>
          <w:numId w:val="1"/>
        </w:numPr>
        <w:spacing w:after="101" w:line="268" w:lineRule="auto"/>
        <w:ind w:hanging="360"/>
      </w:pPr>
      <w:r>
        <w:rPr>
          <w:rFonts w:ascii="Arial" w:eastAsia="Arial" w:hAnsi="Arial" w:cs="Arial"/>
          <w:color w:val="0C0C0C"/>
        </w:rPr>
        <w:t>review the operational risk assessments relating to the use of gas detectors at the mine to ensure that actions and protocols associated with gas detection are appropriate for the response</w:t>
      </w:r>
      <w:r>
        <w:rPr>
          <w:rFonts w:ascii="Arial" w:eastAsia="Arial" w:hAnsi="Arial" w:cs="Arial"/>
          <w:color w:val="0C0C0C"/>
        </w:rPr>
        <w:t xml:space="preserve"> times of the gas detectors and the environmental conditions that may be encountered. In addition to gas detectors used by deputies undertaking inspections, this review should consider operating speeds of vehicles and the distances travelled by those vehic</w:t>
      </w:r>
      <w:r>
        <w:rPr>
          <w:rFonts w:ascii="Arial" w:eastAsia="Arial" w:hAnsi="Arial" w:cs="Arial"/>
          <w:color w:val="0C0C0C"/>
        </w:rPr>
        <w:t xml:space="preserve">les if gas is detected. </w:t>
      </w:r>
    </w:p>
    <w:p w14:paraId="687C22EC" w14:textId="77777777" w:rsidR="00031F6C" w:rsidRDefault="00251FC2">
      <w:pPr>
        <w:numPr>
          <w:ilvl w:val="0"/>
          <w:numId w:val="1"/>
        </w:numPr>
        <w:spacing w:after="59" w:line="268" w:lineRule="auto"/>
        <w:ind w:hanging="360"/>
      </w:pPr>
      <w:r>
        <w:rPr>
          <w:rFonts w:ascii="Arial" w:eastAsia="Arial" w:hAnsi="Arial" w:cs="Arial"/>
          <w:color w:val="0C0C0C"/>
        </w:rPr>
        <w:t xml:space="preserve">update the mine’s safety management system, as required by the above </w:t>
      </w:r>
      <w:proofErr w:type="gramStart"/>
      <w:r>
        <w:rPr>
          <w:rFonts w:ascii="Arial" w:eastAsia="Arial" w:hAnsi="Arial" w:cs="Arial"/>
          <w:color w:val="0C0C0C"/>
        </w:rPr>
        <w:t>reviews</w:t>
      </w:r>
      <w:proofErr w:type="gramEnd"/>
      <w:r>
        <w:rPr>
          <w:rFonts w:ascii="Arial" w:eastAsia="Arial" w:hAnsi="Arial" w:cs="Arial"/>
          <w:color w:val="0C0C0C"/>
        </w:rPr>
        <w:t xml:space="preserve"> </w:t>
      </w:r>
    </w:p>
    <w:p w14:paraId="7D54A979" w14:textId="77777777" w:rsidR="00031F6C" w:rsidRDefault="00251FC2">
      <w:pPr>
        <w:numPr>
          <w:ilvl w:val="0"/>
          <w:numId w:val="1"/>
        </w:numPr>
        <w:spacing w:after="101" w:line="268" w:lineRule="auto"/>
        <w:ind w:hanging="360"/>
      </w:pPr>
      <w:r>
        <w:rPr>
          <w:rFonts w:ascii="Arial" w:eastAsia="Arial" w:hAnsi="Arial" w:cs="Arial"/>
          <w:color w:val="0C0C0C"/>
        </w:rPr>
        <w:t>ensure all personnel who are required to carry a gas detector are trained in the requirements of the mine’s safety management system relating to their du</w:t>
      </w:r>
      <w:r>
        <w:rPr>
          <w:rFonts w:ascii="Arial" w:eastAsia="Arial" w:hAnsi="Arial" w:cs="Arial"/>
          <w:color w:val="0C0C0C"/>
        </w:rPr>
        <w:t xml:space="preserve">ties, and are aware of the time lag response of gas detectors in use at the </w:t>
      </w:r>
      <w:proofErr w:type="gramStart"/>
      <w:r>
        <w:rPr>
          <w:rFonts w:ascii="Arial" w:eastAsia="Arial" w:hAnsi="Arial" w:cs="Arial"/>
          <w:color w:val="0C0C0C"/>
        </w:rPr>
        <w:t>mine</w:t>
      </w:r>
      <w:proofErr w:type="gramEnd"/>
      <w:r>
        <w:rPr>
          <w:rFonts w:ascii="Arial" w:eastAsia="Arial" w:hAnsi="Arial" w:cs="Arial"/>
          <w:color w:val="0C0C0C"/>
        </w:rPr>
        <w:t xml:space="preserve"> </w:t>
      </w:r>
    </w:p>
    <w:p w14:paraId="33F693D3" w14:textId="77777777" w:rsidR="00031F6C" w:rsidRDefault="00251FC2">
      <w:pPr>
        <w:numPr>
          <w:ilvl w:val="0"/>
          <w:numId w:val="1"/>
        </w:numPr>
        <w:spacing w:after="101" w:line="268" w:lineRule="auto"/>
        <w:ind w:hanging="360"/>
      </w:pPr>
      <w:r>
        <w:rPr>
          <w:rFonts w:ascii="Arial" w:eastAsia="Arial" w:hAnsi="Arial" w:cs="Arial"/>
          <w:color w:val="0C0C0C"/>
        </w:rPr>
        <w:t xml:space="preserve">Refer to </w:t>
      </w:r>
      <w:hyperlink r:id="rId7">
        <w:r>
          <w:rPr>
            <w:rFonts w:ascii="Arial" w:eastAsia="Arial" w:hAnsi="Arial" w:cs="Arial"/>
            <w:color w:val="0562C1"/>
            <w:u w:val="single" w:color="0562C1"/>
          </w:rPr>
          <w:t>SA10-04 Portable gas monitors</w:t>
        </w:r>
      </w:hyperlink>
      <w:hyperlink r:id="rId8">
        <w:r>
          <w:rPr>
            <w:rFonts w:ascii="Arial" w:eastAsia="Arial" w:hAnsi="Arial" w:cs="Arial"/>
            <w:color w:val="0C0C0C"/>
          </w:rPr>
          <w:t xml:space="preserve"> </w:t>
        </w:r>
      </w:hyperlink>
      <w:r>
        <w:rPr>
          <w:rFonts w:ascii="Arial" w:eastAsia="Arial" w:hAnsi="Arial" w:cs="Arial"/>
          <w:color w:val="0C0C0C"/>
        </w:rPr>
        <w:t xml:space="preserve">for additional information relating to response times of gas detectors. </w:t>
      </w:r>
    </w:p>
    <w:p w14:paraId="1591CBB7" w14:textId="77777777" w:rsidR="00031F6C" w:rsidRDefault="00251FC2">
      <w:pPr>
        <w:spacing w:after="166" w:line="249" w:lineRule="auto"/>
        <w:ind w:left="-3" w:hanging="10"/>
      </w:pPr>
      <w:r>
        <w:rPr>
          <w:rFonts w:ascii="Arial" w:eastAsia="Arial" w:hAnsi="Arial" w:cs="Arial"/>
          <w:b/>
        </w:rPr>
        <w:t xml:space="preserve">NOTE: </w:t>
      </w:r>
      <w:r>
        <w:rPr>
          <w:rFonts w:ascii="Arial" w:eastAsia="Arial" w:hAnsi="Arial" w:cs="Arial"/>
        </w:rPr>
        <w:t xml:space="preserve">Please ensure all relevant people in your organisation receive a copy of this safety </w:t>
      </w:r>
      <w:proofErr w:type="gramStart"/>
      <w:r>
        <w:rPr>
          <w:rFonts w:ascii="Arial" w:eastAsia="Arial" w:hAnsi="Arial" w:cs="Arial"/>
        </w:rPr>
        <w:t>aler</w:t>
      </w:r>
      <w:r>
        <w:rPr>
          <w:rFonts w:ascii="Arial" w:eastAsia="Arial" w:hAnsi="Arial" w:cs="Arial"/>
        </w:rPr>
        <w:t>t, and</w:t>
      </w:r>
      <w:proofErr w:type="gramEnd"/>
      <w:r>
        <w:rPr>
          <w:rFonts w:ascii="Arial" w:eastAsia="Arial" w:hAnsi="Arial" w:cs="Arial"/>
        </w:rPr>
        <w:t xml:space="preserve"> are informed of its content and recommendations. This safety alert should be processed in a systematic manner through the mine’s information and communication process. It should also be placed on the mine’s notice board. </w:t>
      </w:r>
    </w:p>
    <w:p w14:paraId="1540D897" w14:textId="77777777" w:rsidR="00031F6C" w:rsidRDefault="00251FC2">
      <w:pPr>
        <w:spacing w:after="162" w:line="249" w:lineRule="auto"/>
        <w:ind w:left="-3" w:hanging="10"/>
      </w:pPr>
      <w:r>
        <w:rPr>
          <w:rFonts w:ascii="Arial" w:eastAsia="Arial" w:hAnsi="Arial" w:cs="Arial"/>
        </w:rPr>
        <w:t xml:space="preserve">Issued by  </w:t>
      </w:r>
    </w:p>
    <w:p w14:paraId="73C1D9AA" w14:textId="77777777" w:rsidR="00031F6C" w:rsidRDefault="00251FC2">
      <w:pPr>
        <w:spacing w:after="5" w:line="249" w:lineRule="auto"/>
        <w:ind w:left="-3" w:hanging="10"/>
      </w:pPr>
      <w:r>
        <w:rPr>
          <w:rFonts w:ascii="Arial" w:eastAsia="Arial" w:hAnsi="Arial" w:cs="Arial"/>
        </w:rPr>
        <w:t xml:space="preserve">Dave McLean </w:t>
      </w:r>
    </w:p>
    <w:p w14:paraId="6EC85387" w14:textId="77777777" w:rsidR="00031F6C" w:rsidRDefault="00251FC2">
      <w:pPr>
        <w:spacing w:after="5" w:line="249" w:lineRule="auto"/>
        <w:ind w:left="-3" w:hanging="10"/>
      </w:pPr>
      <w:r>
        <w:rPr>
          <w:rFonts w:ascii="Arial" w:eastAsia="Arial" w:hAnsi="Arial" w:cs="Arial"/>
        </w:rPr>
        <w:t>Ch</w:t>
      </w:r>
      <w:r>
        <w:rPr>
          <w:rFonts w:ascii="Arial" w:eastAsia="Arial" w:hAnsi="Arial" w:cs="Arial"/>
        </w:rPr>
        <w:t xml:space="preserve">ief Inspector </w:t>
      </w:r>
    </w:p>
    <w:p w14:paraId="16395D27" w14:textId="77777777" w:rsidR="00031F6C" w:rsidRDefault="00251FC2">
      <w:pPr>
        <w:spacing w:after="158"/>
      </w:pPr>
      <w:r>
        <w:rPr>
          <w:rFonts w:ascii="Arial" w:eastAsia="Arial" w:hAnsi="Arial" w:cs="Arial"/>
        </w:rPr>
        <w:t xml:space="preserve">Appointed pursuant to </w:t>
      </w:r>
      <w:r>
        <w:rPr>
          <w:rFonts w:ascii="Arial" w:eastAsia="Arial" w:hAnsi="Arial" w:cs="Arial"/>
          <w:i/>
        </w:rPr>
        <w:t>Work Health and Safety (Mines and Petroleum Sites) Act 2013</w:t>
      </w:r>
      <w:r>
        <w:rPr>
          <w:rFonts w:ascii="Arial" w:eastAsia="Arial" w:hAnsi="Arial" w:cs="Arial"/>
        </w:rPr>
        <w:t xml:space="preserve"> </w:t>
      </w:r>
    </w:p>
    <w:p w14:paraId="31B7656E" w14:textId="77777777" w:rsidR="00031F6C" w:rsidRDefault="00251FC2">
      <w:pPr>
        <w:spacing w:after="116"/>
      </w:pPr>
      <w:r>
        <w:rPr>
          <w:rFonts w:ascii="Arial" w:eastAsia="Arial" w:hAnsi="Arial" w:cs="Arial"/>
        </w:rPr>
        <w:t xml:space="preserve">Go to </w:t>
      </w:r>
      <w:hyperlink r:id="rId9">
        <w:r>
          <w:rPr>
            <w:rFonts w:ascii="Arial" w:eastAsia="Arial" w:hAnsi="Arial" w:cs="Arial"/>
            <w:color w:val="0000FF"/>
          </w:rPr>
          <w:t>resourcesandenergy.nsw.gov.au/safety</w:t>
        </w:r>
      </w:hyperlink>
      <w:hyperlink r:id="rId10">
        <w:r>
          <w:rPr>
            <w:rFonts w:ascii="Arial" w:eastAsia="Arial" w:hAnsi="Arial" w:cs="Arial"/>
          </w:rPr>
          <w:t xml:space="preserve"> </w:t>
        </w:r>
      </w:hyperlink>
      <w:r>
        <w:rPr>
          <w:rFonts w:ascii="Arial" w:eastAsia="Arial" w:hAnsi="Arial" w:cs="Arial"/>
        </w:rPr>
        <w:t xml:space="preserve">to </w:t>
      </w:r>
    </w:p>
    <w:p w14:paraId="63BAF2A4" w14:textId="77777777" w:rsidR="00031F6C" w:rsidRDefault="00251FC2">
      <w:pPr>
        <w:numPr>
          <w:ilvl w:val="0"/>
          <w:numId w:val="1"/>
        </w:numPr>
        <w:spacing w:after="83" w:line="249" w:lineRule="auto"/>
        <w:ind w:hanging="360"/>
      </w:pPr>
      <w:r>
        <w:rPr>
          <w:rFonts w:ascii="Arial" w:eastAsia="Arial" w:hAnsi="Arial" w:cs="Arial"/>
        </w:rPr>
        <w:t xml:space="preserve">find more safety alerts and </w:t>
      </w:r>
      <w:proofErr w:type="gramStart"/>
      <w:r>
        <w:rPr>
          <w:rFonts w:ascii="Arial" w:eastAsia="Arial" w:hAnsi="Arial" w:cs="Arial"/>
        </w:rPr>
        <w:t>bulletins</w:t>
      </w:r>
      <w:proofErr w:type="gramEnd"/>
      <w:r>
        <w:rPr>
          <w:rFonts w:ascii="Arial" w:eastAsia="Arial" w:hAnsi="Arial" w:cs="Arial"/>
        </w:rPr>
        <w:t xml:space="preserve">  </w:t>
      </w:r>
    </w:p>
    <w:p w14:paraId="15FB7AF0" w14:textId="77777777" w:rsidR="00031F6C" w:rsidRDefault="00251FC2">
      <w:pPr>
        <w:numPr>
          <w:ilvl w:val="0"/>
          <w:numId w:val="1"/>
        </w:numPr>
        <w:spacing w:after="5" w:line="316" w:lineRule="auto"/>
        <w:ind w:hanging="360"/>
      </w:pPr>
      <w:r>
        <w:rPr>
          <w:rFonts w:ascii="Arial" w:eastAsia="Arial" w:hAnsi="Arial" w:cs="Arial"/>
        </w:rPr>
        <w:t xml:space="preserve">use our searchable safety </w:t>
      </w:r>
      <w:proofErr w:type="gramStart"/>
      <w:r>
        <w:rPr>
          <w:rFonts w:ascii="Arial" w:eastAsia="Arial" w:hAnsi="Arial" w:cs="Arial"/>
        </w:rPr>
        <w:t xml:space="preserve">database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t xml:space="preserve">sign-up to receive mine safety news. </w:t>
      </w:r>
    </w:p>
    <w:p w14:paraId="6BA7F83D" w14:textId="77777777" w:rsidR="00031F6C" w:rsidRDefault="00251FC2">
      <w:pPr>
        <w:pStyle w:val="Heading3"/>
      </w:pPr>
      <w:r>
        <w:t xml:space="preserve">Disclaimer </w:t>
      </w:r>
    </w:p>
    <w:p w14:paraId="25EB3F10" w14:textId="77777777" w:rsidR="00031F6C" w:rsidRDefault="00251FC2">
      <w:pPr>
        <w:spacing w:after="0"/>
      </w:pPr>
      <w:r>
        <w:rPr>
          <w:rFonts w:ascii="Arial" w:eastAsia="Arial" w:hAnsi="Arial" w:cs="Arial"/>
          <w:sz w:val="18"/>
        </w:rPr>
        <w:t>The information contained in this publication is based on knowledge and understanding at the time of writing. However, because of advances in knowledge, users are reminded of the need to ensure that information on which they rely is up to date and to check</w:t>
      </w:r>
      <w:r>
        <w:rPr>
          <w:rFonts w:ascii="Arial" w:eastAsia="Arial" w:hAnsi="Arial" w:cs="Arial"/>
          <w:sz w:val="18"/>
        </w:rPr>
        <w:t xml:space="preserve"> the currency of the information with the appropriate officer of NSW Department of Planning and Environment or the user’s independent advisor. </w:t>
      </w:r>
    </w:p>
    <w:tbl>
      <w:tblPr>
        <w:tblStyle w:val="TableGrid"/>
        <w:tblW w:w="10987" w:type="dxa"/>
        <w:tblInd w:w="-106" w:type="dxa"/>
        <w:tblCellMar>
          <w:top w:w="41" w:type="dxa"/>
          <w:left w:w="107" w:type="dxa"/>
          <w:bottom w:w="0" w:type="dxa"/>
          <w:right w:w="115" w:type="dxa"/>
        </w:tblCellMar>
        <w:tblLook w:val="04A0" w:firstRow="1" w:lastRow="0" w:firstColumn="1" w:lastColumn="0" w:noHBand="0" w:noVBand="1"/>
      </w:tblPr>
      <w:tblGrid>
        <w:gridCol w:w="5492"/>
        <w:gridCol w:w="5495"/>
      </w:tblGrid>
      <w:tr w:rsidR="00031F6C" w14:paraId="5C96C29B" w14:textId="77777777">
        <w:trPr>
          <w:trHeight w:val="334"/>
        </w:trPr>
        <w:tc>
          <w:tcPr>
            <w:tcW w:w="5492" w:type="dxa"/>
            <w:tcBorders>
              <w:top w:val="single" w:sz="4" w:space="0" w:color="959292"/>
              <w:left w:val="single" w:sz="4" w:space="0" w:color="959292"/>
              <w:bottom w:val="single" w:sz="4" w:space="0" w:color="959292"/>
              <w:right w:val="single" w:sz="4" w:space="0" w:color="959292"/>
            </w:tcBorders>
            <w:shd w:val="clear" w:color="auto" w:fill="062439"/>
          </w:tcPr>
          <w:p w14:paraId="4CDF08E0" w14:textId="77777777" w:rsidR="00031F6C" w:rsidRDefault="00251FC2">
            <w:pPr>
              <w:spacing w:after="0"/>
            </w:pPr>
            <w:r>
              <w:rPr>
                <w:rFonts w:ascii="Arial" w:eastAsia="Arial" w:hAnsi="Arial" w:cs="Arial"/>
                <w:color w:val="FFFFFF"/>
                <w:sz w:val="18"/>
              </w:rPr>
              <w:t xml:space="preserve">Office use only </w:t>
            </w:r>
          </w:p>
        </w:tc>
        <w:tc>
          <w:tcPr>
            <w:tcW w:w="5495" w:type="dxa"/>
            <w:tcBorders>
              <w:top w:val="single" w:sz="4" w:space="0" w:color="959292"/>
              <w:left w:val="single" w:sz="4" w:space="0" w:color="959292"/>
              <w:bottom w:val="single" w:sz="4" w:space="0" w:color="959292"/>
              <w:right w:val="single" w:sz="4" w:space="0" w:color="959292"/>
            </w:tcBorders>
            <w:shd w:val="clear" w:color="auto" w:fill="062439"/>
          </w:tcPr>
          <w:p w14:paraId="23645ED4" w14:textId="77777777" w:rsidR="00031F6C" w:rsidRDefault="00251FC2">
            <w:pPr>
              <w:spacing w:after="0"/>
              <w:ind w:left="4"/>
            </w:pPr>
            <w:r>
              <w:rPr>
                <w:rFonts w:ascii="Arial" w:eastAsia="Arial" w:hAnsi="Arial" w:cs="Arial"/>
                <w:color w:val="FFFFFF"/>
                <w:sz w:val="18"/>
              </w:rPr>
              <w:t xml:space="preserve"> </w:t>
            </w:r>
          </w:p>
        </w:tc>
      </w:tr>
      <w:tr w:rsidR="00031F6C" w14:paraId="1079C5CC" w14:textId="77777777">
        <w:trPr>
          <w:trHeight w:val="337"/>
        </w:trPr>
        <w:tc>
          <w:tcPr>
            <w:tcW w:w="5492" w:type="dxa"/>
            <w:tcBorders>
              <w:top w:val="single" w:sz="4" w:space="0" w:color="959292"/>
              <w:left w:val="single" w:sz="4" w:space="0" w:color="959292"/>
              <w:bottom w:val="single" w:sz="4" w:space="0" w:color="959292"/>
              <w:right w:val="single" w:sz="4" w:space="0" w:color="959292"/>
            </w:tcBorders>
          </w:tcPr>
          <w:p w14:paraId="1EB49B1D" w14:textId="77777777" w:rsidR="00031F6C" w:rsidRDefault="00251FC2">
            <w:pPr>
              <w:spacing w:after="0"/>
            </w:pPr>
            <w:r>
              <w:rPr>
                <w:rFonts w:ascii="Arial" w:eastAsia="Arial" w:hAnsi="Arial" w:cs="Arial"/>
                <w:color w:val="858586"/>
                <w:sz w:val="18"/>
              </w:rPr>
              <w:t xml:space="preserve">RM8 reference </w:t>
            </w:r>
          </w:p>
        </w:tc>
        <w:tc>
          <w:tcPr>
            <w:tcW w:w="5495" w:type="dxa"/>
            <w:tcBorders>
              <w:top w:val="single" w:sz="4" w:space="0" w:color="959292"/>
              <w:left w:val="single" w:sz="4" w:space="0" w:color="959292"/>
              <w:bottom w:val="single" w:sz="4" w:space="0" w:color="959292"/>
              <w:right w:val="single" w:sz="4" w:space="0" w:color="959292"/>
            </w:tcBorders>
          </w:tcPr>
          <w:p w14:paraId="11AF631B" w14:textId="77777777" w:rsidR="00031F6C" w:rsidRDefault="00251FC2">
            <w:pPr>
              <w:spacing w:after="0"/>
              <w:ind w:left="3"/>
            </w:pPr>
            <w:r>
              <w:rPr>
                <w:rFonts w:ascii="Arial" w:eastAsia="Arial" w:hAnsi="Arial" w:cs="Arial"/>
                <w:color w:val="858586"/>
                <w:sz w:val="18"/>
              </w:rPr>
              <w:t xml:space="preserve">PUB17/623 </w:t>
            </w:r>
          </w:p>
        </w:tc>
      </w:tr>
      <w:tr w:rsidR="00031F6C" w14:paraId="13D6AD00" w14:textId="77777777">
        <w:trPr>
          <w:trHeight w:val="336"/>
        </w:trPr>
        <w:tc>
          <w:tcPr>
            <w:tcW w:w="5492" w:type="dxa"/>
            <w:tcBorders>
              <w:top w:val="single" w:sz="4" w:space="0" w:color="959292"/>
              <w:left w:val="single" w:sz="4" w:space="0" w:color="959292"/>
              <w:bottom w:val="single" w:sz="4" w:space="0" w:color="959292"/>
              <w:right w:val="single" w:sz="4" w:space="0" w:color="959292"/>
            </w:tcBorders>
          </w:tcPr>
          <w:p w14:paraId="2AA5E56C" w14:textId="77777777" w:rsidR="00031F6C" w:rsidRDefault="00251FC2">
            <w:pPr>
              <w:spacing w:after="0"/>
            </w:pPr>
            <w:r>
              <w:rPr>
                <w:rFonts w:ascii="Arial" w:eastAsia="Arial" w:hAnsi="Arial" w:cs="Arial"/>
                <w:color w:val="858586"/>
                <w:sz w:val="18"/>
              </w:rPr>
              <w:t xml:space="preserve">Mine safety reference </w:t>
            </w:r>
          </w:p>
        </w:tc>
        <w:tc>
          <w:tcPr>
            <w:tcW w:w="5495" w:type="dxa"/>
            <w:tcBorders>
              <w:top w:val="single" w:sz="4" w:space="0" w:color="959292"/>
              <w:left w:val="single" w:sz="4" w:space="0" w:color="959292"/>
              <w:bottom w:val="single" w:sz="4" w:space="0" w:color="959292"/>
              <w:right w:val="single" w:sz="4" w:space="0" w:color="959292"/>
            </w:tcBorders>
          </w:tcPr>
          <w:p w14:paraId="395F308F" w14:textId="77777777" w:rsidR="00031F6C" w:rsidRDefault="00251FC2">
            <w:pPr>
              <w:spacing w:after="0"/>
              <w:ind w:left="4"/>
            </w:pPr>
            <w:r>
              <w:rPr>
                <w:rFonts w:ascii="Arial" w:eastAsia="Arial" w:hAnsi="Arial" w:cs="Arial"/>
                <w:color w:val="858586"/>
                <w:sz w:val="18"/>
              </w:rPr>
              <w:t xml:space="preserve">SA17/10 </w:t>
            </w:r>
          </w:p>
        </w:tc>
      </w:tr>
      <w:tr w:rsidR="00031F6C" w14:paraId="1185855A" w14:textId="77777777">
        <w:trPr>
          <w:trHeight w:val="336"/>
        </w:trPr>
        <w:tc>
          <w:tcPr>
            <w:tcW w:w="5492" w:type="dxa"/>
            <w:tcBorders>
              <w:top w:val="single" w:sz="4" w:space="0" w:color="959292"/>
              <w:left w:val="single" w:sz="4" w:space="0" w:color="959292"/>
              <w:bottom w:val="single" w:sz="4" w:space="0" w:color="959292"/>
              <w:right w:val="single" w:sz="4" w:space="0" w:color="959292"/>
            </w:tcBorders>
          </w:tcPr>
          <w:p w14:paraId="2DB7A4AE" w14:textId="77777777" w:rsidR="00031F6C" w:rsidRDefault="00251FC2">
            <w:pPr>
              <w:spacing w:after="0"/>
            </w:pPr>
            <w:proofErr w:type="spellStart"/>
            <w:r>
              <w:rPr>
                <w:rFonts w:ascii="Arial" w:eastAsia="Arial" w:hAnsi="Arial" w:cs="Arial"/>
                <w:color w:val="858586"/>
                <w:sz w:val="18"/>
              </w:rPr>
              <w:t>SinNot</w:t>
            </w:r>
            <w:proofErr w:type="spellEnd"/>
            <w:r>
              <w:rPr>
                <w:rFonts w:ascii="Arial" w:eastAsia="Arial" w:hAnsi="Arial" w:cs="Arial"/>
                <w:color w:val="858586"/>
                <w:sz w:val="18"/>
              </w:rPr>
              <w:t xml:space="preserve"> ID </w:t>
            </w:r>
          </w:p>
        </w:tc>
        <w:tc>
          <w:tcPr>
            <w:tcW w:w="5495" w:type="dxa"/>
            <w:tcBorders>
              <w:top w:val="single" w:sz="4" w:space="0" w:color="959292"/>
              <w:left w:val="single" w:sz="4" w:space="0" w:color="959292"/>
              <w:bottom w:val="single" w:sz="4" w:space="0" w:color="959292"/>
              <w:right w:val="single" w:sz="4" w:space="0" w:color="959292"/>
            </w:tcBorders>
          </w:tcPr>
          <w:p w14:paraId="79356C37" w14:textId="77777777" w:rsidR="00031F6C" w:rsidRDefault="00251FC2">
            <w:pPr>
              <w:spacing w:after="0"/>
              <w:ind w:left="4"/>
            </w:pPr>
            <w:r>
              <w:rPr>
                <w:rFonts w:ascii="Arial" w:eastAsia="Arial" w:hAnsi="Arial" w:cs="Arial"/>
                <w:color w:val="858586"/>
                <w:sz w:val="18"/>
              </w:rPr>
              <w:t xml:space="preserve">2017/01457 </w:t>
            </w:r>
          </w:p>
        </w:tc>
      </w:tr>
      <w:tr w:rsidR="00031F6C" w14:paraId="496504BB" w14:textId="77777777">
        <w:trPr>
          <w:trHeight w:val="341"/>
        </w:trPr>
        <w:tc>
          <w:tcPr>
            <w:tcW w:w="5492" w:type="dxa"/>
            <w:tcBorders>
              <w:top w:val="single" w:sz="4" w:space="0" w:color="959292"/>
              <w:left w:val="single" w:sz="4" w:space="0" w:color="959292"/>
              <w:bottom w:val="single" w:sz="4" w:space="0" w:color="959292"/>
              <w:right w:val="single" w:sz="4" w:space="0" w:color="959292"/>
            </w:tcBorders>
          </w:tcPr>
          <w:p w14:paraId="4A597B7A" w14:textId="77777777" w:rsidR="00031F6C" w:rsidRDefault="00251FC2">
            <w:pPr>
              <w:spacing w:after="0"/>
            </w:pPr>
            <w:r>
              <w:rPr>
                <w:rFonts w:ascii="Arial" w:eastAsia="Arial" w:hAnsi="Arial" w:cs="Arial"/>
                <w:color w:val="858586"/>
                <w:sz w:val="18"/>
              </w:rPr>
              <w:t xml:space="preserve">Date published </w:t>
            </w:r>
          </w:p>
        </w:tc>
        <w:tc>
          <w:tcPr>
            <w:tcW w:w="5495" w:type="dxa"/>
            <w:tcBorders>
              <w:top w:val="single" w:sz="4" w:space="0" w:color="959292"/>
              <w:left w:val="single" w:sz="4" w:space="0" w:color="959292"/>
              <w:bottom w:val="single" w:sz="4" w:space="0" w:color="959292"/>
              <w:right w:val="single" w:sz="4" w:space="0" w:color="959292"/>
            </w:tcBorders>
          </w:tcPr>
          <w:p w14:paraId="65E2D07C" w14:textId="77777777" w:rsidR="00031F6C" w:rsidRDefault="00251FC2">
            <w:pPr>
              <w:spacing w:after="0"/>
              <w:ind w:left="4"/>
            </w:pPr>
            <w:r>
              <w:rPr>
                <w:rFonts w:ascii="Arial" w:eastAsia="Arial" w:hAnsi="Arial" w:cs="Arial"/>
                <w:color w:val="858586"/>
                <w:sz w:val="18"/>
              </w:rPr>
              <w:t xml:space="preserve">13 September 2017 </w:t>
            </w:r>
          </w:p>
        </w:tc>
      </w:tr>
    </w:tbl>
    <w:p w14:paraId="4373520D" w14:textId="77777777" w:rsidR="00031F6C" w:rsidRDefault="00251FC2">
      <w:pPr>
        <w:spacing w:after="506"/>
      </w:pPr>
      <w:r>
        <w:rPr>
          <w:rFonts w:ascii="Arial" w:eastAsia="Arial" w:hAnsi="Arial" w:cs="Arial"/>
          <w:sz w:val="18"/>
        </w:rPr>
        <w:t xml:space="preserve"> </w:t>
      </w:r>
    </w:p>
    <w:p w14:paraId="3A1F8794" w14:textId="77777777" w:rsidR="00031F6C" w:rsidRDefault="00251FC2">
      <w:pPr>
        <w:spacing w:after="80"/>
        <w:ind w:left="-28" w:right="-28"/>
      </w:pPr>
      <w:r>
        <w:rPr>
          <w:noProof/>
        </w:rPr>
        <w:lastRenderedPageBreak/>
        <mc:AlternateContent>
          <mc:Choice Requires="wpg">
            <w:drawing>
              <wp:inline distT="0" distB="0" distL="0" distR="0" wp14:anchorId="65BABD9F" wp14:editId="48097147">
                <wp:extent cx="6876288" cy="18288"/>
                <wp:effectExtent l="0" t="0" r="0" b="0"/>
                <wp:docPr id="2740" name="Group 2740"/>
                <wp:cNvGraphicFramePr/>
                <a:graphic xmlns:a="http://schemas.openxmlformats.org/drawingml/2006/main">
                  <a:graphicData uri="http://schemas.microsoft.com/office/word/2010/wordprocessingGroup">
                    <wpg:wgp>
                      <wpg:cNvGrpSpPr/>
                      <wpg:grpSpPr>
                        <a:xfrm>
                          <a:off x="0" y="0"/>
                          <a:ext cx="6876288" cy="18288"/>
                          <a:chOff x="0" y="0"/>
                          <a:chExt cx="6876288" cy="18288"/>
                        </a:xfrm>
                      </wpg:grpSpPr>
                      <wps:wsp>
                        <wps:cNvPr id="3522" name="Shape 3522"/>
                        <wps:cNvSpPr/>
                        <wps:spPr>
                          <a:xfrm>
                            <a:off x="0" y="0"/>
                            <a:ext cx="6876288" cy="18288"/>
                          </a:xfrm>
                          <a:custGeom>
                            <a:avLst/>
                            <a:gdLst/>
                            <a:ahLst/>
                            <a:cxnLst/>
                            <a:rect l="0" t="0" r="0" b="0"/>
                            <a:pathLst>
                              <a:path w="6876288" h="18288">
                                <a:moveTo>
                                  <a:pt x="0" y="0"/>
                                </a:moveTo>
                                <a:lnTo>
                                  <a:pt x="6876288" y="0"/>
                                </a:lnTo>
                                <a:lnTo>
                                  <a:pt x="6876288" y="18288"/>
                                </a:lnTo>
                                <a:lnTo>
                                  <a:pt x="0" y="18288"/>
                                </a:lnTo>
                                <a:lnTo>
                                  <a:pt x="0" y="0"/>
                                </a:lnTo>
                              </a:path>
                            </a:pathLst>
                          </a:custGeom>
                          <a:ln w="0" cap="flat">
                            <a:miter lim="127000"/>
                          </a:ln>
                        </wps:spPr>
                        <wps:style>
                          <a:lnRef idx="0">
                            <a:srgbClr val="000000">
                              <a:alpha val="0"/>
                            </a:srgbClr>
                          </a:lnRef>
                          <a:fillRef idx="1">
                            <a:srgbClr val="175B82"/>
                          </a:fillRef>
                          <a:effectRef idx="0">
                            <a:scrgbClr r="0" g="0" b="0"/>
                          </a:effectRef>
                          <a:fontRef idx="none"/>
                        </wps:style>
                        <wps:bodyPr/>
                      </wps:wsp>
                    </wpg:wgp>
                  </a:graphicData>
                </a:graphic>
              </wp:inline>
            </w:drawing>
          </mc:Choice>
          <mc:Fallback xmlns:a="http://schemas.openxmlformats.org/drawingml/2006/main">
            <w:pict>
              <v:group id="Group 2740" style="width:541.44pt;height:1.44pt;mso-position-horizontal-relative:char;mso-position-vertical-relative:line" coordsize="68762,182">
                <v:shape id="Shape 3523" style="position:absolute;width:68762;height:182;left:0;top:0;" coordsize="6876288,18288" path="m0,0l6876288,0l6876288,18288l0,18288l0,0">
                  <v:stroke weight="0pt" endcap="flat" joinstyle="miter" miterlimit="10" on="false" color="#000000" opacity="0"/>
                  <v:fill on="true" color="#175b82"/>
                </v:shape>
              </v:group>
            </w:pict>
          </mc:Fallback>
        </mc:AlternateContent>
      </w:r>
    </w:p>
    <w:p w14:paraId="66A0FDD9" w14:textId="77777777" w:rsidR="00031F6C" w:rsidRDefault="00251FC2">
      <w:pPr>
        <w:spacing w:after="239"/>
        <w:ind w:left="10" w:right="-10" w:hanging="10"/>
        <w:jc w:val="right"/>
      </w:pPr>
      <w:r>
        <w:rPr>
          <w:rFonts w:ascii="Arial" w:eastAsia="Arial" w:hAnsi="Arial" w:cs="Arial"/>
          <w:color w:val="858586"/>
          <w:sz w:val="18"/>
        </w:rPr>
        <w:t xml:space="preserve">NSW Department of Planning and Environment, Resources Regulator, </w:t>
      </w:r>
      <w:r>
        <w:rPr>
          <w:rFonts w:ascii="Arial" w:eastAsia="Arial" w:hAnsi="Arial" w:cs="Arial"/>
          <w:b/>
          <w:color w:val="043E5C"/>
          <w:sz w:val="18"/>
        </w:rPr>
        <w:t>2</w:t>
      </w:r>
      <w:r>
        <w:rPr>
          <w:rFonts w:ascii="Arial" w:eastAsia="Arial" w:hAnsi="Arial" w:cs="Arial"/>
          <w:color w:val="858586"/>
          <w:sz w:val="18"/>
        </w:rPr>
        <w:t xml:space="preserve"> </w:t>
      </w:r>
    </w:p>
    <w:sectPr w:rsidR="00031F6C">
      <w:pgSz w:w="11904" w:h="16838"/>
      <w:pgMar w:top="549" w:right="566" w:bottom="47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90DF3"/>
    <w:multiLevelType w:val="hybridMultilevel"/>
    <w:tmpl w:val="8D382E08"/>
    <w:lvl w:ilvl="0" w:tplc="42AE6B2E">
      <w:start w:val="1"/>
      <w:numFmt w:val="bullet"/>
      <w:lvlText w:val="•"/>
      <w:lvlJc w:val="left"/>
      <w:pPr>
        <w:ind w:left="706"/>
      </w:pPr>
      <w:rPr>
        <w:rFonts w:ascii="Arial" w:eastAsia="Arial" w:hAnsi="Arial" w:cs="Arial"/>
        <w:b w:val="0"/>
        <w:i w:val="0"/>
        <w:strike w:val="0"/>
        <w:dstrike w:val="0"/>
        <w:color w:val="0C0C0C"/>
        <w:sz w:val="22"/>
        <w:szCs w:val="22"/>
        <w:u w:val="none" w:color="000000"/>
        <w:bdr w:val="none" w:sz="0" w:space="0" w:color="auto"/>
        <w:shd w:val="clear" w:color="auto" w:fill="auto"/>
        <w:vertAlign w:val="baseline"/>
      </w:rPr>
    </w:lvl>
    <w:lvl w:ilvl="1" w:tplc="25A69A66">
      <w:start w:val="1"/>
      <w:numFmt w:val="bullet"/>
      <w:lvlText w:val="o"/>
      <w:lvlJc w:val="left"/>
      <w:pPr>
        <w:ind w:left="1441"/>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2" w:tplc="C786DAD8">
      <w:start w:val="1"/>
      <w:numFmt w:val="bullet"/>
      <w:lvlText w:val="▪"/>
      <w:lvlJc w:val="left"/>
      <w:pPr>
        <w:ind w:left="2161"/>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3" w:tplc="345AA7A4">
      <w:start w:val="1"/>
      <w:numFmt w:val="bullet"/>
      <w:lvlText w:val="•"/>
      <w:lvlJc w:val="left"/>
      <w:pPr>
        <w:ind w:left="2881"/>
      </w:pPr>
      <w:rPr>
        <w:rFonts w:ascii="Arial" w:eastAsia="Arial" w:hAnsi="Arial" w:cs="Arial"/>
        <w:b w:val="0"/>
        <w:i w:val="0"/>
        <w:strike w:val="0"/>
        <w:dstrike w:val="0"/>
        <w:color w:val="0C0C0C"/>
        <w:sz w:val="22"/>
        <w:szCs w:val="22"/>
        <w:u w:val="none" w:color="000000"/>
        <w:bdr w:val="none" w:sz="0" w:space="0" w:color="auto"/>
        <w:shd w:val="clear" w:color="auto" w:fill="auto"/>
        <w:vertAlign w:val="baseline"/>
      </w:rPr>
    </w:lvl>
    <w:lvl w:ilvl="4" w:tplc="EB6E6CC8">
      <w:start w:val="1"/>
      <w:numFmt w:val="bullet"/>
      <w:lvlText w:val="o"/>
      <w:lvlJc w:val="left"/>
      <w:pPr>
        <w:ind w:left="3601"/>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5" w:tplc="94A02CB6">
      <w:start w:val="1"/>
      <w:numFmt w:val="bullet"/>
      <w:lvlText w:val="▪"/>
      <w:lvlJc w:val="left"/>
      <w:pPr>
        <w:ind w:left="4321"/>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6" w:tplc="9D4AB2A2">
      <w:start w:val="1"/>
      <w:numFmt w:val="bullet"/>
      <w:lvlText w:val="•"/>
      <w:lvlJc w:val="left"/>
      <w:pPr>
        <w:ind w:left="5041"/>
      </w:pPr>
      <w:rPr>
        <w:rFonts w:ascii="Arial" w:eastAsia="Arial" w:hAnsi="Arial" w:cs="Arial"/>
        <w:b w:val="0"/>
        <w:i w:val="0"/>
        <w:strike w:val="0"/>
        <w:dstrike w:val="0"/>
        <w:color w:val="0C0C0C"/>
        <w:sz w:val="22"/>
        <w:szCs w:val="22"/>
        <w:u w:val="none" w:color="000000"/>
        <w:bdr w:val="none" w:sz="0" w:space="0" w:color="auto"/>
        <w:shd w:val="clear" w:color="auto" w:fill="auto"/>
        <w:vertAlign w:val="baseline"/>
      </w:rPr>
    </w:lvl>
    <w:lvl w:ilvl="7" w:tplc="818A1746">
      <w:start w:val="1"/>
      <w:numFmt w:val="bullet"/>
      <w:lvlText w:val="o"/>
      <w:lvlJc w:val="left"/>
      <w:pPr>
        <w:ind w:left="5761"/>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lvl w:ilvl="8" w:tplc="5C222274">
      <w:start w:val="1"/>
      <w:numFmt w:val="bullet"/>
      <w:lvlText w:val="▪"/>
      <w:lvlJc w:val="left"/>
      <w:pPr>
        <w:ind w:left="6481"/>
      </w:pPr>
      <w:rPr>
        <w:rFonts w:ascii="Segoe UI Symbol" w:eastAsia="Segoe UI Symbol" w:hAnsi="Segoe UI Symbol" w:cs="Segoe UI Symbol"/>
        <w:b w:val="0"/>
        <w:i w:val="0"/>
        <w:strike w:val="0"/>
        <w:dstrike w:val="0"/>
        <w:color w:val="0C0C0C"/>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6C"/>
    <w:rsid w:val="00031F6C"/>
    <w:rsid w:val="00251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E788"/>
  <w15:docId w15:val="{341C24F1-2E64-4157-8D5D-BF59C000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color w:val="043E5C"/>
      <w:sz w:val="6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2C2B2B"/>
      <w:sz w:val="40"/>
    </w:rPr>
  </w:style>
  <w:style w:type="paragraph" w:styleId="Heading3">
    <w:name w:val="heading 3"/>
    <w:next w:val="Normal"/>
    <w:link w:val="Heading3Char"/>
    <w:uiPriority w:val="9"/>
    <w:unhideWhenUsed/>
    <w:qFormat/>
    <w:pPr>
      <w:keepNext/>
      <w:keepLines/>
      <w:spacing w:after="100"/>
      <w:outlineLvl w:val="2"/>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8"/>
    </w:rPr>
  </w:style>
  <w:style w:type="character" w:customStyle="1" w:styleId="Heading2Char">
    <w:name w:val="Heading 2 Char"/>
    <w:link w:val="Heading2"/>
    <w:rPr>
      <w:rFonts w:ascii="Arial" w:eastAsia="Arial" w:hAnsi="Arial" w:cs="Arial"/>
      <w:b/>
      <w:color w:val="2C2B2B"/>
      <w:sz w:val="40"/>
    </w:rPr>
  </w:style>
  <w:style w:type="character" w:customStyle="1" w:styleId="Heading1Char">
    <w:name w:val="Heading 1 Char"/>
    <w:link w:val="Heading1"/>
    <w:rPr>
      <w:rFonts w:ascii="Arial" w:eastAsia="Arial" w:hAnsi="Arial" w:cs="Arial"/>
      <w:color w:val="043E5C"/>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esourcesandenergy.nsw.gov.au/__data/assets/pdf_file/0020/343019/SA10-04-Portable-Gas-Monitors-Understanding-response-times.pdf" TargetMode="External"/><Relationship Id="rId3" Type="http://schemas.openxmlformats.org/officeDocument/2006/relationships/settings" Target="settings.xml"/><Relationship Id="rId7" Type="http://schemas.openxmlformats.org/officeDocument/2006/relationships/hyperlink" Target="http://www.resourcesandenergy.nsw.gov.au/__data/assets/pdf_file/0020/343019/SA10-04-Portable-Gas-Monitors-Understanding-response-tim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resourcesandenergy.nsw.gov.au/safety" TargetMode="External"/><Relationship Id="rId4" Type="http://schemas.openxmlformats.org/officeDocument/2006/relationships/webSettings" Target="webSettings.xml"/><Relationship Id="rId9" Type="http://schemas.openxmlformats.org/officeDocument/2006/relationships/hyperlink" Target="http://www.resourcesandenergy.nsw.gov.au/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alert Response times of gas detectors</dc:title>
  <dc:subject>safety alert</dc:subject>
  <dc:creator>Resources Regulator</dc:creator>
  <cp:keywords>mine, mines, mining, safety, health, detectors, gas, methane, underground</cp:keywords>
  <cp:lastModifiedBy>Stuart Vaccaneo</cp:lastModifiedBy>
  <cp:revision>2</cp:revision>
  <dcterms:created xsi:type="dcterms:W3CDTF">2021-03-27T10:43:00Z</dcterms:created>
  <dcterms:modified xsi:type="dcterms:W3CDTF">2021-03-27T10:43:00Z</dcterms:modified>
</cp:coreProperties>
</file>