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24CC1" w14:textId="77777777" w:rsidR="008C493C" w:rsidRDefault="00F22C08">
      <w:pPr>
        <w:spacing w:line="259" w:lineRule="auto"/>
        <w:ind w:left="140" w:right="65" w:hanging="10"/>
        <w:jc w:val="center"/>
      </w:pPr>
      <w:r>
        <w:rPr>
          <w:sz w:val="20"/>
        </w:rPr>
        <w:t>Mackay District Office</w:t>
      </w:r>
    </w:p>
    <w:p w14:paraId="16F735AC" w14:textId="77777777" w:rsidR="008C493C" w:rsidRDefault="00F22C08">
      <w:pPr>
        <w:spacing w:after="3" w:line="259" w:lineRule="auto"/>
        <w:ind w:right="1058" w:hanging="10"/>
        <w:jc w:val="right"/>
      </w:pPr>
      <w:r>
        <w:rPr>
          <w:sz w:val="20"/>
        </w:rPr>
        <w:t>P.O. Box 1801, MACKAY QLD 4740</w:t>
      </w:r>
    </w:p>
    <w:p w14:paraId="24D2CBBF" w14:textId="77777777" w:rsidR="008C493C" w:rsidRDefault="00F22C08">
      <w:pPr>
        <w:tabs>
          <w:tab w:val="center" w:pos="2551"/>
          <w:tab w:val="center" w:pos="7109"/>
        </w:tabs>
        <w:spacing w:after="22" w:line="259" w:lineRule="auto"/>
        <w:ind w:left="0" w:firstLine="0"/>
        <w:jc w:val="left"/>
      </w:pPr>
      <w:r>
        <w:rPr>
          <w:noProof/>
        </w:rPr>
        <w:drawing>
          <wp:anchor distT="0" distB="0" distL="114300" distR="114300" simplePos="0" relativeHeight="251658240" behindDoc="0" locked="0" layoutInCell="1" allowOverlap="0" wp14:anchorId="524C8B69" wp14:editId="5D8D149C">
            <wp:simplePos x="0" y="0"/>
            <wp:positionH relativeFrom="column">
              <wp:posOffset>41123</wp:posOffset>
            </wp:positionH>
            <wp:positionV relativeFrom="paragraph">
              <wp:posOffset>-198710</wp:posOffset>
            </wp:positionV>
            <wp:extent cx="644262" cy="447673"/>
            <wp:effectExtent l="0" t="0" r="0" b="0"/>
            <wp:wrapSquare wrapText="bothSides"/>
            <wp:docPr id="15093" name="Picture 15093"/>
            <wp:cNvGraphicFramePr/>
            <a:graphic xmlns:a="http://schemas.openxmlformats.org/drawingml/2006/main">
              <a:graphicData uri="http://schemas.openxmlformats.org/drawingml/2006/picture">
                <pic:pic xmlns:pic="http://schemas.openxmlformats.org/drawingml/2006/picture">
                  <pic:nvPicPr>
                    <pic:cNvPr id="15093" name="Picture 15093"/>
                    <pic:cNvPicPr/>
                  </pic:nvPicPr>
                  <pic:blipFill>
                    <a:blip r:embed="rId7"/>
                    <a:stretch>
                      <a:fillRect/>
                    </a:stretch>
                  </pic:blipFill>
                  <pic:spPr>
                    <a:xfrm>
                      <a:off x="0" y="0"/>
                      <a:ext cx="644262" cy="447673"/>
                    </a:xfrm>
                    <a:prstGeom prst="rect">
                      <a:avLst/>
                    </a:prstGeom>
                  </pic:spPr>
                </pic:pic>
              </a:graphicData>
            </a:graphic>
          </wp:anchor>
        </w:drawing>
      </w:r>
      <w:r>
        <w:rPr>
          <w:noProof/>
        </w:rPr>
        <w:drawing>
          <wp:anchor distT="0" distB="0" distL="114300" distR="114300" simplePos="0" relativeHeight="251659264" behindDoc="0" locked="0" layoutInCell="1" allowOverlap="0" wp14:anchorId="085C79DE" wp14:editId="5EBC0147">
            <wp:simplePos x="0" y="0"/>
            <wp:positionH relativeFrom="column">
              <wp:posOffset>2220649</wp:posOffset>
            </wp:positionH>
            <wp:positionV relativeFrom="paragraph">
              <wp:posOffset>153033</wp:posOffset>
            </wp:positionV>
            <wp:extent cx="383816" cy="13704"/>
            <wp:effectExtent l="0" t="0" r="0" b="0"/>
            <wp:wrapSquare wrapText="bothSides"/>
            <wp:docPr id="2424" name="Picture 2424"/>
            <wp:cNvGraphicFramePr/>
            <a:graphic xmlns:a="http://schemas.openxmlformats.org/drawingml/2006/main">
              <a:graphicData uri="http://schemas.openxmlformats.org/drawingml/2006/picture">
                <pic:pic xmlns:pic="http://schemas.openxmlformats.org/drawingml/2006/picture">
                  <pic:nvPicPr>
                    <pic:cNvPr id="2424" name="Picture 2424"/>
                    <pic:cNvPicPr/>
                  </pic:nvPicPr>
                  <pic:blipFill>
                    <a:blip r:embed="rId8"/>
                    <a:stretch>
                      <a:fillRect/>
                    </a:stretch>
                  </pic:blipFill>
                  <pic:spPr>
                    <a:xfrm>
                      <a:off x="0" y="0"/>
                      <a:ext cx="383816" cy="13704"/>
                    </a:xfrm>
                    <a:prstGeom prst="rect">
                      <a:avLst/>
                    </a:prstGeom>
                  </pic:spPr>
                </pic:pic>
              </a:graphicData>
            </a:graphic>
          </wp:anchor>
        </w:drawing>
      </w:r>
      <w:r>
        <w:rPr>
          <w:sz w:val="18"/>
        </w:rPr>
        <w:tab/>
        <w:t>Queensland Government</w:t>
      </w:r>
      <w:r>
        <w:rPr>
          <w:sz w:val="18"/>
        </w:rPr>
        <w:tab/>
        <w:t>Phone: (07) 4999 8512, Fax: (07) 4999 8519</w:t>
      </w:r>
    </w:p>
    <w:tbl>
      <w:tblPr>
        <w:tblStyle w:val="TableGrid"/>
        <w:tblW w:w="9376" w:type="dxa"/>
        <w:tblInd w:w="58" w:type="dxa"/>
        <w:tblCellMar>
          <w:top w:w="39" w:type="dxa"/>
          <w:left w:w="0" w:type="dxa"/>
          <w:bottom w:w="0" w:type="dxa"/>
          <w:right w:w="101" w:type="dxa"/>
        </w:tblCellMar>
        <w:tblLook w:val="04A0" w:firstRow="1" w:lastRow="0" w:firstColumn="1" w:lastColumn="0" w:noHBand="0" w:noVBand="1"/>
      </w:tblPr>
      <w:tblGrid>
        <w:gridCol w:w="2419"/>
        <w:gridCol w:w="1007"/>
        <w:gridCol w:w="1921"/>
        <w:gridCol w:w="1849"/>
        <w:gridCol w:w="1007"/>
        <w:gridCol w:w="1173"/>
      </w:tblGrid>
      <w:tr w:rsidR="008C493C" w14:paraId="75A2BC5C" w14:textId="77777777">
        <w:trPr>
          <w:trHeight w:val="281"/>
        </w:trPr>
        <w:tc>
          <w:tcPr>
            <w:tcW w:w="2418" w:type="dxa"/>
            <w:tcBorders>
              <w:top w:val="single" w:sz="2" w:space="0" w:color="000000"/>
              <w:left w:val="nil"/>
              <w:bottom w:val="single" w:sz="2" w:space="0" w:color="000000"/>
              <w:right w:val="nil"/>
            </w:tcBorders>
          </w:tcPr>
          <w:p w14:paraId="45DF2412" w14:textId="77777777" w:rsidR="008C493C" w:rsidRDefault="00F22C08">
            <w:pPr>
              <w:spacing w:line="259" w:lineRule="auto"/>
              <w:ind w:left="22" w:firstLine="0"/>
              <w:jc w:val="left"/>
            </w:pPr>
            <w:r>
              <w:rPr>
                <w:sz w:val="22"/>
              </w:rPr>
              <w:t>Mine Name</w:t>
            </w:r>
          </w:p>
        </w:tc>
        <w:tc>
          <w:tcPr>
            <w:tcW w:w="1007" w:type="dxa"/>
            <w:tcBorders>
              <w:top w:val="single" w:sz="2" w:space="0" w:color="000000"/>
              <w:left w:val="nil"/>
              <w:bottom w:val="single" w:sz="2" w:space="0" w:color="000000"/>
              <w:right w:val="nil"/>
            </w:tcBorders>
          </w:tcPr>
          <w:p w14:paraId="1C779D89" w14:textId="77777777" w:rsidR="008C493C" w:rsidRDefault="00F22C08">
            <w:pPr>
              <w:spacing w:line="259" w:lineRule="auto"/>
              <w:ind w:left="0" w:firstLine="0"/>
              <w:jc w:val="left"/>
            </w:pPr>
            <w:r>
              <w:rPr>
                <w:sz w:val="22"/>
              </w:rPr>
              <w:t>Mine ID</w:t>
            </w:r>
          </w:p>
        </w:tc>
        <w:tc>
          <w:tcPr>
            <w:tcW w:w="1921" w:type="dxa"/>
            <w:tcBorders>
              <w:top w:val="single" w:sz="2" w:space="0" w:color="000000"/>
              <w:left w:val="nil"/>
              <w:bottom w:val="single" w:sz="2" w:space="0" w:color="000000"/>
              <w:right w:val="nil"/>
            </w:tcBorders>
          </w:tcPr>
          <w:p w14:paraId="33E33FD3" w14:textId="77777777" w:rsidR="008C493C" w:rsidRDefault="00F22C08">
            <w:pPr>
              <w:spacing w:line="259" w:lineRule="auto"/>
              <w:ind w:left="345" w:firstLine="0"/>
              <w:jc w:val="left"/>
            </w:pPr>
            <w:r>
              <w:t>Operator</w:t>
            </w:r>
          </w:p>
        </w:tc>
        <w:tc>
          <w:tcPr>
            <w:tcW w:w="1849" w:type="dxa"/>
            <w:tcBorders>
              <w:top w:val="single" w:sz="2" w:space="0" w:color="000000"/>
              <w:left w:val="nil"/>
              <w:bottom w:val="single" w:sz="2" w:space="0" w:color="000000"/>
              <w:right w:val="nil"/>
            </w:tcBorders>
          </w:tcPr>
          <w:p w14:paraId="30145E31" w14:textId="77777777" w:rsidR="008C493C" w:rsidRDefault="00F22C08">
            <w:pPr>
              <w:spacing w:line="259" w:lineRule="auto"/>
              <w:ind w:left="72" w:firstLine="0"/>
              <w:jc w:val="left"/>
            </w:pPr>
            <w:r>
              <w:t>Activity Type</w:t>
            </w:r>
          </w:p>
        </w:tc>
        <w:tc>
          <w:tcPr>
            <w:tcW w:w="1007" w:type="dxa"/>
            <w:tcBorders>
              <w:top w:val="single" w:sz="2" w:space="0" w:color="000000"/>
              <w:left w:val="nil"/>
              <w:bottom w:val="single" w:sz="2" w:space="0" w:color="000000"/>
              <w:right w:val="nil"/>
            </w:tcBorders>
          </w:tcPr>
          <w:p w14:paraId="186E3DCB" w14:textId="77777777" w:rsidR="008C493C" w:rsidRDefault="00F22C08">
            <w:pPr>
              <w:spacing w:line="259" w:lineRule="auto"/>
              <w:ind w:left="0" w:firstLine="0"/>
              <w:jc w:val="left"/>
            </w:pPr>
            <w:r>
              <w:rPr>
                <w:sz w:val="26"/>
              </w:rPr>
              <w:t>Region</w:t>
            </w:r>
          </w:p>
        </w:tc>
        <w:tc>
          <w:tcPr>
            <w:tcW w:w="1173" w:type="dxa"/>
            <w:tcBorders>
              <w:top w:val="single" w:sz="2" w:space="0" w:color="000000"/>
              <w:left w:val="nil"/>
              <w:bottom w:val="single" w:sz="2" w:space="0" w:color="000000"/>
              <w:right w:val="nil"/>
            </w:tcBorders>
          </w:tcPr>
          <w:p w14:paraId="58454CDE" w14:textId="77777777" w:rsidR="008C493C" w:rsidRDefault="00F22C08">
            <w:pPr>
              <w:spacing w:line="259" w:lineRule="auto"/>
              <w:ind w:left="0" w:firstLine="0"/>
              <w:jc w:val="left"/>
            </w:pPr>
            <w:r>
              <w:rPr>
                <w:sz w:val="22"/>
              </w:rPr>
              <w:t>Activity Date</w:t>
            </w:r>
          </w:p>
        </w:tc>
      </w:tr>
      <w:tr w:rsidR="008C493C" w14:paraId="420462EF" w14:textId="77777777">
        <w:trPr>
          <w:trHeight w:val="410"/>
        </w:trPr>
        <w:tc>
          <w:tcPr>
            <w:tcW w:w="2418" w:type="dxa"/>
            <w:tcBorders>
              <w:top w:val="single" w:sz="2" w:space="0" w:color="000000"/>
              <w:left w:val="nil"/>
              <w:bottom w:val="single" w:sz="2" w:space="0" w:color="000000"/>
              <w:right w:val="nil"/>
            </w:tcBorders>
          </w:tcPr>
          <w:p w14:paraId="7F20FBD8" w14:textId="77777777" w:rsidR="008C493C" w:rsidRDefault="00F22C08">
            <w:pPr>
              <w:spacing w:line="259" w:lineRule="auto"/>
              <w:ind w:left="14" w:firstLine="0"/>
              <w:jc w:val="left"/>
            </w:pPr>
            <w:r>
              <w:rPr>
                <w:sz w:val="18"/>
              </w:rPr>
              <w:t>North Goonyella</w:t>
            </w:r>
          </w:p>
        </w:tc>
        <w:tc>
          <w:tcPr>
            <w:tcW w:w="1007" w:type="dxa"/>
            <w:tcBorders>
              <w:top w:val="single" w:sz="2" w:space="0" w:color="000000"/>
              <w:left w:val="nil"/>
              <w:bottom w:val="single" w:sz="2" w:space="0" w:color="000000"/>
              <w:right w:val="nil"/>
            </w:tcBorders>
          </w:tcPr>
          <w:p w14:paraId="2F6A995C" w14:textId="77777777" w:rsidR="008C493C" w:rsidRDefault="00F22C08">
            <w:pPr>
              <w:spacing w:line="259" w:lineRule="auto"/>
              <w:ind w:left="36" w:firstLine="0"/>
              <w:jc w:val="left"/>
            </w:pPr>
            <w:r>
              <w:rPr>
                <w:sz w:val="16"/>
              </w:rPr>
              <w:t>M101157</w:t>
            </w:r>
          </w:p>
        </w:tc>
        <w:tc>
          <w:tcPr>
            <w:tcW w:w="1921" w:type="dxa"/>
            <w:tcBorders>
              <w:top w:val="single" w:sz="2" w:space="0" w:color="000000"/>
              <w:left w:val="nil"/>
              <w:bottom w:val="single" w:sz="2" w:space="0" w:color="000000"/>
              <w:right w:val="nil"/>
            </w:tcBorders>
          </w:tcPr>
          <w:p w14:paraId="278A3D0F" w14:textId="77777777" w:rsidR="008C493C" w:rsidRDefault="00F22C08">
            <w:pPr>
              <w:spacing w:line="259" w:lineRule="auto"/>
              <w:ind w:left="0" w:firstLine="0"/>
              <w:jc w:val="left"/>
            </w:pPr>
            <w:r>
              <w:rPr>
                <w:sz w:val="20"/>
              </w:rPr>
              <w:t>PEABODY (BOWEN)</w:t>
            </w:r>
          </w:p>
          <w:p w14:paraId="7D552BBB" w14:textId="77777777" w:rsidR="008C493C" w:rsidRDefault="00F22C08">
            <w:pPr>
              <w:spacing w:line="259" w:lineRule="auto"/>
              <w:ind w:left="439" w:firstLine="0"/>
              <w:jc w:val="left"/>
            </w:pPr>
            <w:r>
              <w:rPr>
                <w:sz w:val="22"/>
              </w:rPr>
              <w:t>PTY LTD</w:t>
            </w:r>
          </w:p>
        </w:tc>
        <w:tc>
          <w:tcPr>
            <w:tcW w:w="1849" w:type="dxa"/>
            <w:tcBorders>
              <w:top w:val="single" w:sz="2" w:space="0" w:color="000000"/>
              <w:left w:val="nil"/>
              <w:bottom w:val="single" w:sz="2" w:space="0" w:color="000000"/>
              <w:right w:val="nil"/>
            </w:tcBorders>
          </w:tcPr>
          <w:p w14:paraId="477BA97B" w14:textId="77777777" w:rsidR="008C493C" w:rsidRDefault="00F22C08">
            <w:pPr>
              <w:spacing w:line="259" w:lineRule="auto"/>
              <w:ind w:left="0" w:firstLine="0"/>
              <w:jc w:val="left"/>
            </w:pPr>
            <w:r>
              <w:rPr>
                <w:sz w:val="18"/>
              </w:rPr>
              <w:t>Postal Mine Record</w:t>
            </w:r>
          </w:p>
        </w:tc>
        <w:tc>
          <w:tcPr>
            <w:tcW w:w="1007" w:type="dxa"/>
            <w:tcBorders>
              <w:top w:val="single" w:sz="2" w:space="0" w:color="000000"/>
              <w:left w:val="nil"/>
              <w:bottom w:val="single" w:sz="2" w:space="0" w:color="000000"/>
              <w:right w:val="nil"/>
            </w:tcBorders>
          </w:tcPr>
          <w:p w14:paraId="6E21B9F5" w14:textId="77777777" w:rsidR="008C493C" w:rsidRDefault="00F22C08">
            <w:pPr>
              <w:spacing w:line="259" w:lineRule="auto"/>
              <w:ind w:left="72" w:firstLine="0"/>
              <w:jc w:val="left"/>
            </w:pPr>
            <w:r>
              <w:rPr>
                <w:sz w:val="18"/>
              </w:rPr>
              <w:t>Central</w:t>
            </w:r>
          </w:p>
        </w:tc>
        <w:tc>
          <w:tcPr>
            <w:tcW w:w="1173" w:type="dxa"/>
            <w:tcBorders>
              <w:top w:val="single" w:sz="2" w:space="0" w:color="000000"/>
              <w:left w:val="nil"/>
              <w:bottom w:val="single" w:sz="2" w:space="0" w:color="000000"/>
              <w:right w:val="nil"/>
            </w:tcBorders>
          </w:tcPr>
          <w:p w14:paraId="1EE7E9E3" w14:textId="77777777" w:rsidR="008C493C" w:rsidRDefault="00F22C08">
            <w:pPr>
              <w:spacing w:line="259" w:lineRule="auto"/>
              <w:ind w:left="144" w:firstLine="0"/>
              <w:jc w:val="left"/>
            </w:pPr>
            <w:r>
              <w:rPr>
                <w:sz w:val="18"/>
              </w:rPr>
              <w:t>01/03/2017</w:t>
            </w:r>
          </w:p>
        </w:tc>
      </w:tr>
    </w:tbl>
    <w:p w14:paraId="3D5450E1" w14:textId="77777777" w:rsidR="008C493C" w:rsidRDefault="00F22C08">
      <w:pPr>
        <w:spacing w:after="334" w:line="259" w:lineRule="auto"/>
        <w:ind w:left="140" w:hanging="10"/>
        <w:jc w:val="center"/>
      </w:pPr>
      <w:r>
        <w:rPr>
          <w:sz w:val="20"/>
        </w:rPr>
        <w:t>Vision: Our Industries Free of Safety and Health Incidents</w:t>
      </w:r>
    </w:p>
    <w:p w14:paraId="66AF8A59" w14:textId="77777777" w:rsidR="008C493C" w:rsidRDefault="00F22C08">
      <w:pPr>
        <w:pStyle w:val="Heading1"/>
      </w:pPr>
      <w:r>
        <w:t>Mine Record Entry</w:t>
      </w:r>
    </w:p>
    <w:p w14:paraId="775B6487" w14:textId="77777777" w:rsidR="008C493C" w:rsidRDefault="00F22C08">
      <w:pPr>
        <w:spacing w:line="259" w:lineRule="auto"/>
        <w:ind w:left="86" w:firstLine="0"/>
        <w:jc w:val="center"/>
      </w:pPr>
      <w:r>
        <w:rPr>
          <w:sz w:val="26"/>
        </w:rPr>
        <w:t>This report forms part of the Mine Record under s68 of the Coal Mining Safety and</w:t>
      </w:r>
    </w:p>
    <w:p w14:paraId="082C73FA" w14:textId="77777777" w:rsidR="008C493C" w:rsidRDefault="00F22C08">
      <w:pPr>
        <w:spacing w:after="121" w:line="216" w:lineRule="auto"/>
        <w:ind w:left="10" w:hanging="10"/>
        <w:jc w:val="center"/>
      </w:pPr>
      <w:r>
        <w:rPr>
          <w:sz w:val="28"/>
        </w:rPr>
        <w:t>Health Act 1999. It must be placed in the Mine Record and displayed on Safety Notice Boards.</w:t>
      </w:r>
    </w:p>
    <w:p w14:paraId="2C69E4B6" w14:textId="77777777" w:rsidR="008C493C" w:rsidRDefault="00F22C08">
      <w:pPr>
        <w:spacing w:line="216" w:lineRule="auto"/>
        <w:ind w:left="288" w:hanging="72"/>
        <w:jc w:val="left"/>
      </w:pPr>
      <w:r>
        <w:rPr>
          <w:sz w:val="28"/>
        </w:rPr>
        <w:t>Note that inspection or audit activities conducted by the Mines Inspectorate are based upon sample techniques. It remains the primary responsibility of Mine Person</w:t>
      </w:r>
      <w:r>
        <w:rPr>
          <w:sz w:val="28"/>
        </w:rPr>
        <w:t>nel to</w:t>
      </w:r>
    </w:p>
    <w:p w14:paraId="7577D801" w14:textId="77777777" w:rsidR="008C493C" w:rsidRDefault="00F22C08">
      <w:pPr>
        <w:spacing w:after="2" w:line="259" w:lineRule="auto"/>
        <w:ind w:left="0" w:firstLine="0"/>
        <w:jc w:val="left"/>
      </w:pPr>
      <w:r>
        <w:rPr>
          <w:noProof/>
        </w:rPr>
        <w:drawing>
          <wp:inline distT="0" distB="0" distL="0" distR="0" wp14:anchorId="6D89F381" wp14:editId="604F9F96">
            <wp:extent cx="4569" cy="4568"/>
            <wp:effectExtent l="0" t="0" r="0" b="0"/>
            <wp:docPr id="2367" name="Picture 2367"/>
            <wp:cNvGraphicFramePr/>
            <a:graphic xmlns:a="http://schemas.openxmlformats.org/drawingml/2006/main">
              <a:graphicData uri="http://schemas.openxmlformats.org/drawingml/2006/picture">
                <pic:pic xmlns:pic="http://schemas.openxmlformats.org/drawingml/2006/picture">
                  <pic:nvPicPr>
                    <pic:cNvPr id="2367" name="Picture 2367"/>
                    <pic:cNvPicPr/>
                  </pic:nvPicPr>
                  <pic:blipFill>
                    <a:blip r:embed="rId9"/>
                    <a:stretch>
                      <a:fillRect/>
                    </a:stretch>
                  </pic:blipFill>
                  <pic:spPr>
                    <a:xfrm>
                      <a:off x="0" y="0"/>
                      <a:ext cx="4569" cy="4568"/>
                    </a:xfrm>
                    <a:prstGeom prst="rect">
                      <a:avLst/>
                    </a:prstGeom>
                  </pic:spPr>
                </pic:pic>
              </a:graphicData>
            </a:graphic>
          </wp:inline>
        </w:drawing>
      </w:r>
    </w:p>
    <w:p w14:paraId="11A69FEB" w14:textId="77777777" w:rsidR="008C493C" w:rsidRDefault="00F22C08">
      <w:pPr>
        <w:spacing w:after="299" w:line="216" w:lineRule="auto"/>
        <w:ind w:left="10" w:hanging="10"/>
        <w:jc w:val="center"/>
      </w:pPr>
      <w:r>
        <w:rPr>
          <w:sz w:val="28"/>
        </w:rPr>
        <w:t>identify hazards, and risks associated with Operations and ensure those risks are at an acceptable level.</w:t>
      </w:r>
    </w:p>
    <w:p w14:paraId="4051B018" w14:textId="77777777" w:rsidR="008C493C" w:rsidRDefault="00F22C08">
      <w:pPr>
        <w:ind w:left="125" w:right="79"/>
      </w:pPr>
      <w:r>
        <w:t>Today a meeting was held at the Nelson Street Office of the DNRM with the Mines</w:t>
      </w:r>
    </w:p>
    <w:p w14:paraId="18DD6BA0" w14:textId="77777777" w:rsidR="008C493C" w:rsidRDefault="00F22C08">
      <w:pPr>
        <w:spacing w:after="97"/>
        <w:ind w:left="125" w:right="245"/>
      </w:pPr>
      <w:r>
        <w:t>Inspectorate and senior management members of North Goonyella</w:t>
      </w:r>
      <w:r>
        <w:t xml:space="preserve"> Coal Mine. The meeting was to discuss the details of the analysis of the atmospheric monitoring data for Longwall 9N return airway.</w:t>
      </w:r>
    </w:p>
    <w:p w14:paraId="0176A9FA" w14:textId="77777777" w:rsidR="008C493C" w:rsidRDefault="00F22C08">
      <w:pPr>
        <w:ind w:left="125" w:right="79"/>
      </w:pPr>
      <w:r>
        <w:t>This data was requested following a recent inspection at an underground coal mine with a</w:t>
      </w:r>
    </w:p>
    <w:p w14:paraId="40638EEC" w14:textId="77777777" w:rsidR="008C493C" w:rsidRDefault="00F22C08">
      <w:pPr>
        <w:spacing w:after="118" w:line="216" w:lineRule="auto"/>
        <w:ind w:left="115" w:right="266" w:firstLine="0"/>
        <w:jc w:val="left"/>
      </w:pPr>
      <w:r>
        <w:t>Longwall operation which identifie</w:t>
      </w:r>
      <w:r>
        <w:t>d that the general body accumulation of methane in the Longwall return had the potential to present an unacceptable level of risk which was also in breach of regulatory requirements.</w:t>
      </w:r>
    </w:p>
    <w:p w14:paraId="466EC8EE" w14:textId="77777777" w:rsidR="008C493C" w:rsidRDefault="00F22C08">
      <w:pPr>
        <w:spacing w:after="158"/>
        <w:ind w:left="118" w:right="143"/>
      </w:pPr>
      <w:r>
        <w:rPr>
          <w:sz w:val="26"/>
        </w:rPr>
        <w:t xml:space="preserve">CMSH Regulation 366 Withdrawal of persons in case of danger </w:t>
      </w:r>
      <w:r>
        <w:rPr>
          <w:sz w:val="26"/>
        </w:rPr>
        <w:t>(1) For secti</w:t>
      </w:r>
      <w:r>
        <w:rPr>
          <w:sz w:val="26"/>
        </w:rPr>
        <w:t>on 273 of the Act, a part of an underground mine required to be ventilated under section 344(1)(b) that has a general body concentration of methane of at least 2.5% is taken to be dangerous.</w:t>
      </w:r>
    </w:p>
    <w:p w14:paraId="231F258F" w14:textId="77777777" w:rsidR="008C493C" w:rsidRDefault="00F22C08">
      <w:pPr>
        <w:spacing w:after="287" w:line="216" w:lineRule="auto"/>
        <w:ind w:left="72" w:right="216" w:hanging="7"/>
      </w:pPr>
      <w:r>
        <w:t xml:space="preserve">CMSH Act section 273 Withdrawal of persons in case of danger </w:t>
      </w:r>
      <w:r>
        <w:t xml:space="preserve">(1) </w:t>
      </w:r>
      <w:r>
        <w:t>If a coal mine is dangerous, all persons exposed to the danger must withdraw to a</w:t>
      </w:r>
    </w:p>
    <w:p w14:paraId="7CF0A348" w14:textId="77777777" w:rsidR="008C493C" w:rsidRDefault="00F22C08">
      <w:pPr>
        <w:spacing w:after="287" w:line="216" w:lineRule="auto"/>
        <w:ind w:left="72" w:right="216" w:hanging="7"/>
      </w:pPr>
      <w:r>
        <w:rPr>
          <w:sz w:val="26"/>
        </w:rPr>
        <w:t>place of safety.</w:t>
      </w:r>
    </w:p>
    <w:p w14:paraId="36B4F42C" w14:textId="77777777" w:rsidR="008C493C" w:rsidRDefault="00F22C08">
      <w:pPr>
        <w:ind w:left="125" w:right="79"/>
      </w:pPr>
      <w:r>
        <w:t>1.0 In attendance were -</w:t>
      </w:r>
    </w:p>
    <w:p w14:paraId="57080EEE" w14:textId="77777777" w:rsidR="008C493C" w:rsidRDefault="00F22C08">
      <w:pPr>
        <w:spacing w:after="44"/>
        <w:ind w:left="125" w:right="79"/>
      </w:pPr>
      <w:r>
        <w:t>Mr Russell Albury — Chief Inspector of Coal Mines</w:t>
      </w:r>
    </w:p>
    <w:p w14:paraId="6B319D38" w14:textId="77777777" w:rsidR="008C493C" w:rsidRDefault="00F22C08">
      <w:pPr>
        <w:spacing w:after="43"/>
        <w:ind w:left="125" w:right="79"/>
      </w:pPr>
      <w:r>
        <w:t>Mr Shaun Dobson — Acting District Inspector</w:t>
      </w:r>
    </w:p>
    <w:p w14:paraId="69696899" w14:textId="77777777" w:rsidR="008C493C" w:rsidRDefault="00F22C08">
      <w:pPr>
        <w:spacing w:after="52"/>
        <w:ind w:left="125" w:right="79"/>
      </w:pPr>
      <w:r>
        <w:t>Mr Paul Brown — Inspector of Mines</w:t>
      </w:r>
    </w:p>
    <w:p w14:paraId="0BDEAE25" w14:textId="77777777" w:rsidR="008C493C" w:rsidRDefault="00F22C08">
      <w:pPr>
        <w:spacing w:after="105"/>
        <w:ind w:left="125" w:right="79"/>
      </w:pPr>
      <w:r>
        <w:t>Mr Richard Gouldstone — Inspector of Mines</w:t>
      </w:r>
    </w:p>
    <w:p w14:paraId="78CB7EE1" w14:textId="77777777" w:rsidR="008C493C" w:rsidRDefault="00F22C08">
      <w:pPr>
        <w:ind w:left="125" w:right="79"/>
      </w:pPr>
      <w:r>
        <w:lastRenderedPageBreak/>
        <w:t>Mr Mike Carter - SSE &amp; GM</w:t>
      </w:r>
    </w:p>
    <w:p w14:paraId="31CF7BD8" w14:textId="77777777" w:rsidR="008C493C" w:rsidRDefault="00F22C08">
      <w:pPr>
        <w:spacing w:after="38"/>
        <w:ind w:left="118" w:right="143"/>
      </w:pPr>
      <w:r>
        <w:rPr>
          <w:sz w:val="26"/>
        </w:rPr>
        <w:t>Mr Marek Romanski - UMM</w:t>
      </w:r>
    </w:p>
    <w:p w14:paraId="7FCEDBEA" w14:textId="77777777" w:rsidR="008C493C" w:rsidRDefault="00F22C08">
      <w:pPr>
        <w:spacing w:after="39"/>
        <w:ind w:left="61" w:right="79"/>
      </w:pPr>
      <w:r>
        <w:t>Mr David Craft - VO</w:t>
      </w:r>
    </w:p>
    <w:p w14:paraId="3DD7A707" w14:textId="77777777" w:rsidR="008C493C" w:rsidRDefault="00F22C08">
      <w:pPr>
        <w:spacing w:after="1193"/>
        <w:ind w:left="61" w:right="79"/>
      </w:pPr>
      <w:r>
        <w:t>Mr Phil Reed - Safety &amp; Health Manager</w:t>
      </w:r>
    </w:p>
    <w:p w14:paraId="152F9DAC" w14:textId="77777777" w:rsidR="008C493C" w:rsidRDefault="00F22C08">
      <w:pPr>
        <w:spacing w:line="259" w:lineRule="auto"/>
        <w:ind w:left="0" w:right="604" w:firstLine="0"/>
        <w:jc w:val="right"/>
      </w:pPr>
      <w:r>
        <w:rPr>
          <w:sz w:val="84"/>
        </w:rPr>
        <w:t xml:space="preserve">I </w:t>
      </w:r>
    </w:p>
    <w:p w14:paraId="5EC09910" w14:textId="77777777" w:rsidR="008C493C" w:rsidRDefault="00F22C08">
      <w:pPr>
        <w:spacing w:after="36"/>
        <w:ind w:left="17" w:right="79"/>
      </w:pPr>
      <w:r>
        <w:t xml:space="preserve">2.0 Items </w:t>
      </w:r>
      <w:proofErr w:type="gramStart"/>
      <w:r>
        <w:t>discussed</w:t>
      </w:r>
      <w:proofErr w:type="gramEnd"/>
    </w:p>
    <w:p w14:paraId="1DBCE2E4" w14:textId="77777777" w:rsidR="008C493C" w:rsidRDefault="00F22C08">
      <w:pPr>
        <w:spacing w:after="38"/>
        <w:ind w:left="17" w:right="143"/>
      </w:pPr>
      <w:r>
        <w:rPr>
          <w:sz w:val="26"/>
        </w:rPr>
        <w:t>2.1 Results of analysis</w:t>
      </w:r>
    </w:p>
    <w:p w14:paraId="725903C4" w14:textId="77777777" w:rsidR="008C493C" w:rsidRDefault="00F22C08">
      <w:pPr>
        <w:spacing w:after="73"/>
        <w:ind w:left="3" w:right="79"/>
      </w:pPr>
      <w:r>
        <w:t xml:space="preserve">Following the initial data </w:t>
      </w:r>
      <w:proofErr w:type="gramStart"/>
      <w:r>
        <w:t>analysis</w:t>
      </w:r>
      <w:proofErr w:type="gramEnd"/>
      <w:r>
        <w:t xml:space="preserve"> a number of other documents were also requested which were supplied.</w:t>
      </w:r>
    </w:p>
    <w:p w14:paraId="5BF26638" w14:textId="77777777" w:rsidR="008C493C" w:rsidRDefault="00F22C08">
      <w:pPr>
        <w:spacing w:after="113"/>
        <w:ind w:left="25" w:right="79"/>
      </w:pPr>
      <w:r>
        <w:t xml:space="preserve">Inspector Dobson summarised the findings from the data and information provided </w:t>
      </w:r>
      <w:proofErr w:type="gramStart"/>
      <w:r>
        <w:t>regarding</w:t>
      </w:r>
      <w:proofErr w:type="gramEnd"/>
    </w:p>
    <w:p w14:paraId="7D486176" w14:textId="77777777" w:rsidR="008C493C" w:rsidRDefault="00F22C08">
      <w:pPr>
        <w:numPr>
          <w:ilvl w:val="0"/>
          <w:numId w:val="1"/>
        </w:numPr>
        <w:spacing w:after="110"/>
        <w:ind w:right="79" w:hanging="252"/>
      </w:pPr>
      <w:r>
        <w:t>Real time and tube bundle and gas monitoring data</w:t>
      </w:r>
    </w:p>
    <w:p w14:paraId="5CCFD404" w14:textId="77777777" w:rsidR="008C493C" w:rsidRDefault="00F22C08">
      <w:pPr>
        <w:numPr>
          <w:ilvl w:val="0"/>
          <w:numId w:val="1"/>
        </w:numPr>
        <w:spacing w:after="38"/>
        <w:ind w:right="79" w:hanging="252"/>
      </w:pPr>
      <w:r>
        <w:t>ERZ Controllers Statutory and Production reports</w:t>
      </w:r>
    </w:p>
    <w:p w14:paraId="2C0589E0" w14:textId="77777777" w:rsidR="008C493C" w:rsidRDefault="00F22C08">
      <w:pPr>
        <w:numPr>
          <w:ilvl w:val="0"/>
          <w:numId w:val="1"/>
        </w:numPr>
        <w:spacing w:after="62"/>
        <w:ind w:right="79" w:hanging="252"/>
      </w:pPr>
      <w:r>
        <w:t>Control room environmental alarm logs</w:t>
      </w:r>
    </w:p>
    <w:p w14:paraId="6B8729D8" w14:textId="77777777" w:rsidR="008C493C" w:rsidRDefault="00F22C08">
      <w:pPr>
        <w:numPr>
          <w:ilvl w:val="0"/>
          <w:numId w:val="1"/>
        </w:numPr>
        <w:spacing w:after="132"/>
        <w:ind w:right="79" w:hanging="252"/>
      </w:pPr>
      <w:r>
        <w:t>Monthly Ventilation reports</w:t>
      </w:r>
    </w:p>
    <w:p w14:paraId="3B5D2AA5" w14:textId="77777777" w:rsidR="008C493C" w:rsidRDefault="00F22C08">
      <w:pPr>
        <w:numPr>
          <w:ilvl w:val="0"/>
          <w:numId w:val="1"/>
        </w:numPr>
        <w:spacing w:after="94"/>
        <w:ind w:right="79" w:hanging="252"/>
      </w:pPr>
      <w:r>
        <w:rPr>
          <w:sz w:val="28"/>
        </w:rPr>
        <w:t>T</w:t>
      </w:r>
      <w:r>
        <w:rPr>
          <w:sz w:val="28"/>
        </w:rPr>
        <w:t>ARP's 024 and 025</w:t>
      </w:r>
    </w:p>
    <w:p w14:paraId="0039DA6E" w14:textId="77777777" w:rsidR="008C493C" w:rsidRDefault="00F22C08">
      <w:pPr>
        <w:numPr>
          <w:ilvl w:val="0"/>
          <w:numId w:val="1"/>
        </w:numPr>
        <w:spacing w:after="406"/>
        <w:ind w:right="79" w:hanging="252"/>
      </w:pPr>
      <w:r>
        <w:rPr>
          <w:sz w:val="26"/>
        </w:rPr>
        <w:t>Risk assessments</w:t>
      </w:r>
    </w:p>
    <w:p w14:paraId="467D634F" w14:textId="77777777" w:rsidR="008C493C" w:rsidRDefault="00F22C08">
      <w:pPr>
        <w:spacing w:after="55"/>
        <w:ind w:left="10" w:right="79"/>
      </w:pPr>
      <w:r>
        <w:t>The significant points that were apparent and brought to the attention of the North Goonyella representatives were as follows:</w:t>
      </w:r>
    </w:p>
    <w:p w14:paraId="5357B420" w14:textId="77777777" w:rsidR="008C493C" w:rsidRDefault="00F22C08">
      <w:pPr>
        <w:numPr>
          <w:ilvl w:val="0"/>
          <w:numId w:val="1"/>
        </w:numPr>
        <w:spacing w:after="118" w:line="216" w:lineRule="auto"/>
        <w:ind w:right="79" w:hanging="252"/>
      </w:pPr>
      <w:r>
        <w:t xml:space="preserve">Numerous occasions where the Tailgate general body methane concentrations exceeded 2.5%. This </w:t>
      </w:r>
      <w:r>
        <w:t xml:space="preserve">was followed by failures to conduct withdrawals to a place of safety and continuing with production operations whist methane was </w:t>
      </w:r>
      <w:proofErr w:type="gramStart"/>
      <w:r>
        <w:t>in excess of</w:t>
      </w:r>
      <w:proofErr w:type="gramEnd"/>
      <w:r>
        <w:t xml:space="preserve"> 2.5%.</w:t>
      </w:r>
    </w:p>
    <w:p w14:paraId="66A62376" w14:textId="77777777" w:rsidR="008C493C" w:rsidRDefault="00F22C08">
      <w:pPr>
        <w:numPr>
          <w:ilvl w:val="0"/>
          <w:numId w:val="1"/>
        </w:numPr>
        <w:ind w:right="79" w:hanging="252"/>
      </w:pPr>
      <w:r>
        <w:t>Inconsistent alarm responses with the application of TARPs 024 and 025.</w:t>
      </w:r>
    </w:p>
    <w:p w14:paraId="0EAB5F08" w14:textId="77777777" w:rsidR="008C493C" w:rsidRDefault="00F22C08">
      <w:pPr>
        <w:numPr>
          <w:ilvl w:val="0"/>
          <w:numId w:val="1"/>
        </w:numPr>
        <w:ind w:right="79" w:hanging="252"/>
      </w:pPr>
      <w:r>
        <w:t>Inadequate investigations into trigg</w:t>
      </w:r>
      <w:r>
        <w:t>ered alarms from tube bundle monitoring points.</w:t>
      </w:r>
    </w:p>
    <w:p w14:paraId="5F695E5E" w14:textId="77777777" w:rsidR="008C493C" w:rsidRDefault="00F22C08">
      <w:pPr>
        <w:spacing w:after="62"/>
        <w:ind w:left="359" w:right="79" w:hanging="237"/>
      </w:pPr>
      <w:r>
        <w:t xml:space="preserve">e </w:t>
      </w:r>
      <w:proofErr w:type="gramStart"/>
      <w:r>
        <w:t>The</w:t>
      </w:r>
      <w:proofErr w:type="gramEnd"/>
      <w:r>
        <w:t xml:space="preserve"> continuation of production for 7.5 hours when the real time monitoring point for the Tailgate was in bypass.</w:t>
      </w:r>
    </w:p>
    <w:p w14:paraId="68561948" w14:textId="77777777" w:rsidR="008C493C" w:rsidRDefault="00F22C08">
      <w:pPr>
        <w:numPr>
          <w:ilvl w:val="0"/>
          <w:numId w:val="2"/>
        </w:numPr>
        <w:spacing w:line="216" w:lineRule="auto"/>
        <w:ind w:right="79" w:hanging="247"/>
      </w:pPr>
      <w:r>
        <w:t xml:space="preserve">Risk assessment NG-MlN-RSK-LW029 which was a review of the TARP 024 to reduce the trigger levels. This was dated as being conducted on the </w:t>
      </w:r>
      <w:proofErr w:type="gramStart"/>
      <w:r>
        <w:t>9t</w:t>
      </w:r>
      <w:r>
        <w:t>h</w:t>
      </w:r>
      <w:proofErr w:type="gramEnd"/>
      <w:r>
        <w:t xml:space="preserve"> February which was 10 days after the letter from the Chief Inspector was issued in relation to the matter of 2.5% general body methane concentrations.</w:t>
      </w:r>
    </w:p>
    <w:p w14:paraId="4A14D6E4" w14:textId="77777777" w:rsidR="008C493C" w:rsidRDefault="00F22C08">
      <w:pPr>
        <w:spacing w:after="118" w:line="216" w:lineRule="auto"/>
        <w:ind w:left="367" w:right="266" w:firstLine="0"/>
        <w:jc w:val="left"/>
      </w:pPr>
      <w:r>
        <w:t>The lack of adequate hazard identification in this risk assessment was concerning given that the only "</w:t>
      </w:r>
      <w:r>
        <w:t>Unwanted Event/ Hazard Release" was the " Escalation of methane levels in the Longwall return to &gt;2.5% resulting in the loss of the TG as an escapeway</w:t>
      </w:r>
      <w:proofErr w:type="gramStart"/>
      <w:r>
        <w:t>" .</w:t>
      </w:r>
      <w:proofErr w:type="gramEnd"/>
      <w:r>
        <w:t xml:space="preserve"> The three reported </w:t>
      </w:r>
      <w:proofErr w:type="spellStart"/>
      <w:r>
        <w:t>HPl's</w:t>
      </w:r>
      <w:proofErr w:type="spellEnd"/>
      <w:r>
        <w:t xml:space="preserve"> from the 30th and 31st of January were also reported as sub section 7 of Sche</w:t>
      </w:r>
      <w:r>
        <w:t>dule IC "an unplanned event that causes only 1 escapeway from the mine to be available for use". The hazard of methane explosibility had not been considered.</w:t>
      </w:r>
    </w:p>
    <w:p w14:paraId="1C84CCB6" w14:textId="77777777" w:rsidR="008C493C" w:rsidRDefault="00F22C08">
      <w:pPr>
        <w:numPr>
          <w:ilvl w:val="0"/>
          <w:numId w:val="2"/>
        </w:numPr>
        <w:spacing w:after="81"/>
        <w:ind w:right="79" w:hanging="247"/>
      </w:pPr>
      <w:r>
        <w:lastRenderedPageBreak/>
        <w:t>Inconsistent inspection and recording of environmental readings for the Tailgate. This also includ</w:t>
      </w:r>
      <w:r>
        <w:t xml:space="preserve">es </w:t>
      </w:r>
      <w:proofErr w:type="spellStart"/>
      <w:r>
        <w:t>goafstream</w:t>
      </w:r>
      <w:proofErr w:type="spellEnd"/>
      <w:r>
        <w:t xml:space="preserve"> sample results at the time of taking this sample.</w:t>
      </w:r>
    </w:p>
    <w:p w14:paraId="2DAE1A77" w14:textId="77777777" w:rsidR="008C493C" w:rsidRDefault="00F22C08">
      <w:pPr>
        <w:numPr>
          <w:ilvl w:val="0"/>
          <w:numId w:val="2"/>
        </w:numPr>
        <w:spacing w:after="79"/>
        <w:ind w:right="79" w:hanging="247"/>
      </w:pPr>
      <w:r>
        <w:t>No evidence on the statutory officials reports of re-inspecting the work area after the withdrawal of coal mine workers due to the TARP level being triggered.</w:t>
      </w:r>
    </w:p>
    <w:p w14:paraId="0B3A117D" w14:textId="77777777" w:rsidR="008C493C" w:rsidRDefault="00F22C08">
      <w:pPr>
        <w:spacing w:after="439"/>
        <w:ind w:left="367" w:right="79" w:hanging="245"/>
      </w:pPr>
      <w:r>
        <w:rPr>
          <w:noProof/>
        </w:rPr>
        <w:drawing>
          <wp:inline distT="0" distB="0" distL="0" distR="0" wp14:anchorId="69AA23EB" wp14:editId="3F30D3D3">
            <wp:extent cx="63969" cy="63953"/>
            <wp:effectExtent l="0" t="0" r="0" b="0"/>
            <wp:docPr id="5197" name="Picture 5197"/>
            <wp:cNvGraphicFramePr/>
            <a:graphic xmlns:a="http://schemas.openxmlformats.org/drawingml/2006/main">
              <a:graphicData uri="http://schemas.openxmlformats.org/drawingml/2006/picture">
                <pic:pic xmlns:pic="http://schemas.openxmlformats.org/drawingml/2006/picture">
                  <pic:nvPicPr>
                    <pic:cNvPr id="5197" name="Picture 5197"/>
                    <pic:cNvPicPr/>
                  </pic:nvPicPr>
                  <pic:blipFill>
                    <a:blip r:embed="rId10"/>
                    <a:stretch>
                      <a:fillRect/>
                    </a:stretch>
                  </pic:blipFill>
                  <pic:spPr>
                    <a:xfrm>
                      <a:off x="0" y="0"/>
                      <a:ext cx="63969" cy="63953"/>
                    </a:xfrm>
                    <a:prstGeom prst="rect">
                      <a:avLst/>
                    </a:prstGeom>
                  </pic:spPr>
                </pic:pic>
              </a:graphicData>
            </a:graphic>
          </wp:inline>
        </w:drawing>
      </w:r>
      <w:r>
        <w:t xml:space="preserve"> The undertaking of Ventilation </w:t>
      </w:r>
      <w:r>
        <w:t>changes on night shifts when TARP triggered elevated methane events have occurred.</w:t>
      </w:r>
    </w:p>
    <w:p w14:paraId="4DBD9C1C" w14:textId="77777777" w:rsidR="008C493C" w:rsidRDefault="00F22C08">
      <w:pPr>
        <w:spacing w:after="646"/>
        <w:ind w:left="17" w:right="511"/>
      </w:pPr>
      <w:r>
        <w:t>Mine representatives responded to the above matters which the Inspectors acknowledged that the TARP 024 now had methane levels that were not in breach of legislative require</w:t>
      </w:r>
      <w:r>
        <w:t xml:space="preserve">ments. However due to the </w:t>
      </w:r>
      <w:proofErr w:type="gramStart"/>
      <w:r>
        <w:t>aforementioned matters</w:t>
      </w:r>
      <w:proofErr w:type="gramEnd"/>
      <w:r>
        <w:t xml:space="preserve"> not demonstrating effective consistent management of these matters at all levels the following Directives were verbally given to the SSE by Inspector Dobson:</w:t>
      </w:r>
    </w:p>
    <w:p w14:paraId="7E1AC4BF" w14:textId="77777777" w:rsidR="008C493C" w:rsidRDefault="00F22C08">
      <w:pPr>
        <w:spacing w:after="3" w:line="259" w:lineRule="auto"/>
        <w:ind w:right="604" w:hanging="10"/>
        <w:jc w:val="right"/>
      </w:pPr>
      <w:r>
        <w:rPr>
          <w:sz w:val="20"/>
        </w:rPr>
        <w:t xml:space="preserve">2 </w:t>
      </w:r>
    </w:p>
    <w:p w14:paraId="63FAC6C6" w14:textId="77777777" w:rsidR="008C493C" w:rsidRDefault="00F22C08">
      <w:pPr>
        <w:spacing w:after="164"/>
        <w:ind w:left="118" w:right="143"/>
      </w:pPr>
      <w:r>
        <w:rPr>
          <w:sz w:val="26"/>
        </w:rPr>
        <w:t>168 Directive to review safety and health mana</w:t>
      </w:r>
      <w:r>
        <w:rPr>
          <w:sz w:val="26"/>
        </w:rPr>
        <w:t xml:space="preserve">gement system and principal hazard management </w:t>
      </w:r>
      <w:proofErr w:type="gramStart"/>
      <w:r>
        <w:rPr>
          <w:sz w:val="26"/>
        </w:rPr>
        <w:t>plans</w:t>
      </w:r>
      <w:proofErr w:type="gramEnd"/>
    </w:p>
    <w:p w14:paraId="26A88FA5" w14:textId="77777777" w:rsidR="008C493C" w:rsidRDefault="00F22C08">
      <w:pPr>
        <w:spacing w:after="196"/>
        <w:ind w:left="125" w:right="309"/>
      </w:pPr>
      <w:r>
        <w:t>To review the Principal Hazard Management Plan for Gas Management which shall include the review of risk assessments, Trigger Action Response Plans, and to implement effective adequate controls for the ma</w:t>
      </w:r>
      <w:r>
        <w:t>nagement of flammable gas. This includes demonstrating the training and competence of all persons with obligations for this hazard.</w:t>
      </w:r>
    </w:p>
    <w:p w14:paraId="2B9B6E21" w14:textId="77777777" w:rsidR="008C493C" w:rsidRDefault="00F22C08">
      <w:pPr>
        <w:spacing w:after="138"/>
        <w:ind w:left="118" w:right="143"/>
      </w:pPr>
      <w:r>
        <w:rPr>
          <w:sz w:val="26"/>
        </w:rPr>
        <w:t xml:space="preserve">166 Directive to reduce </w:t>
      </w:r>
      <w:proofErr w:type="gramStart"/>
      <w:r>
        <w:rPr>
          <w:sz w:val="26"/>
        </w:rPr>
        <w:t>risk</w:t>
      </w:r>
      <w:proofErr w:type="gramEnd"/>
    </w:p>
    <w:p w14:paraId="04DCC2E1" w14:textId="77777777" w:rsidR="008C493C" w:rsidRDefault="00F22C08">
      <w:pPr>
        <w:spacing w:after="207"/>
        <w:ind w:left="125" w:right="79"/>
      </w:pPr>
      <w:r>
        <w:t>To review the application of adequate controls to ensure that any general body concentrations of flammable gas that exist in any workings do not eventuate in concentrations that present an unacceptable level of risk. This requires the implementation of con</w:t>
      </w:r>
      <w:r>
        <w:t>trols that are in accordance with the hierarchy of controls with respect to the magnitude of this hazard.</w:t>
      </w:r>
    </w:p>
    <w:p w14:paraId="242CF1E1" w14:textId="77777777" w:rsidR="008C493C" w:rsidRDefault="00F22C08">
      <w:pPr>
        <w:spacing w:after="172"/>
        <w:ind w:left="125" w:right="79"/>
      </w:pPr>
      <w:r>
        <w:t>The due date for both Directives was 16th March 2017.</w:t>
      </w:r>
    </w:p>
    <w:p w14:paraId="6B480ACB" w14:textId="77777777" w:rsidR="008C493C" w:rsidRDefault="00F22C08">
      <w:pPr>
        <w:spacing w:after="57"/>
        <w:ind w:left="125" w:right="79"/>
      </w:pPr>
      <w:r>
        <w:t>The Mine representatives explained that for the month of February there had been no further exce</w:t>
      </w:r>
      <w:r>
        <w:t>edances and that extra methane drainage capacity had been utilised.</w:t>
      </w:r>
    </w:p>
    <w:p w14:paraId="45D30794" w14:textId="77777777" w:rsidR="008C493C" w:rsidRDefault="00F22C08">
      <w:pPr>
        <w:spacing w:after="571"/>
        <w:ind w:left="125" w:right="79"/>
      </w:pPr>
      <w:r>
        <w:t xml:space="preserve">The Inspectors expressed the concern that the documentary evidence showed that there was a risk that the presence of elevated methane levels had become 'normalised' and the Mine needed to </w:t>
      </w:r>
      <w:r>
        <w:t>deal with the issue as a matter of urgency.</w:t>
      </w:r>
    </w:p>
    <w:p w14:paraId="4BD6A017" w14:textId="77777777" w:rsidR="008C493C" w:rsidRDefault="00F22C08">
      <w:pPr>
        <w:tabs>
          <w:tab w:val="center" w:pos="662"/>
          <w:tab w:val="center" w:pos="4706"/>
          <w:tab w:val="right" w:pos="9347"/>
        </w:tabs>
        <w:spacing w:line="259" w:lineRule="auto"/>
        <w:ind w:left="0" w:firstLine="0"/>
        <w:jc w:val="left"/>
      </w:pPr>
      <w:r>
        <w:rPr>
          <w:sz w:val="26"/>
        </w:rPr>
        <w:tab/>
      </w:r>
      <w:r>
        <w:rPr>
          <w:sz w:val="26"/>
          <w:u w:val="single" w:color="000000"/>
        </w:rPr>
        <w:t>Number</w:t>
      </w:r>
      <w:r>
        <w:rPr>
          <w:sz w:val="26"/>
          <w:u w:val="single" w:color="000000"/>
        </w:rPr>
        <w:tab/>
        <w:t>Directive</w:t>
      </w:r>
      <w:r>
        <w:rPr>
          <w:sz w:val="26"/>
          <w:u w:val="single" w:color="000000"/>
        </w:rPr>
        <w:tab/>
        <w:t>Due Date</w:t>
      </w:r>
    </w:p>
    <w:p w14:paraId="03C87EB5" w14:textId="77777777" w:rsidR="008C493C" w:rsidRDefault="00F22C08">
      <w:pPr>
        <w:spacing w:after="99" w:line="259" w:lineRule="auto"/>
        <w:ind w:left="82" w:hanging="10"/>
        <w:jc w:val="center"/>
      </w:pPr>
      <w:r>
        <w:rPr>
          <w:sz w:val="18"/>
        </w:rPr>
        <w:t>Pursuant to section 168 of the Coal Mining Safety and Health Act 1999</w:t>
      </w:r>
    </w:p>
    <w:p w14:paraId="3DB18BE5" w14:textId="77777777" w:rsidR="008C493C" w:rsidRDefault="00F22C08">
      <w:pPr>
        <w:tabs>
          <w:tab w:val="center" w:pos="662"/>
          <w:tab w:val="center" w:pos="3299"/>
          <w:tab w:val="right" w:pos="9347"/>
        </w:tabs>
        <w:spacing w:line="259" w:lineRule="auto"/>
        <w:ind w:left="0" w:right="-15" w:firstLine="0"/>
        <w:jc w:val="left"/>
      </w:pPr>
      <w:r>
        <w:rPr>
          <w:sz w:val="26"/>
        </w:rPr>
        <w:tab/>
      </w:r>
      <w:r>
        <w:rPr>
          <w:sz w:val="26"/>
        </w:rPr>
        <w:t>I</w:t>
      </w:r>
      <w:r>
        <w:rPr>
          <w:sz w:val="26"/>
        </w:rPr>
        <w:tab/>
      </w:r>
      <w:r>
        <w:rPr>
          <w:sz w:val="26"/>
        </w:rPr>
        <w:t>Procedures for Methane management</w:t>
      </w:r>
      <w:r>
        <w:rPr>
          <w:sz w:val="26"/>
        </w:rPr>
        <w:tab/>
      </w:r>
      <w:r>
        <w:rPr>
          <w:sz w:val="26"/>
        </w:rPr>
        <w:t>16/03/2017</w:t>
      </w:r>
    </w:p>
    <w:p w14:paraId="5F509520" w14:textId="77777777" w:rsidR="008C493C" w:rsidRDefault="00F22C08">
      <w:pPr>
        <w:spacing w:after="378"/>
        <w:ind w:left="125" w:right="79"/>
      </w:pPr>
      <w:r>
        <w:t xml:space="preserve">To review the Principal Hazard Management Plan for Gas Management which shall include the review of risk assessments, Trigger Action Response Plans, and to implement effective </w:t>
      </w:r>
      <w:r>
        <w:lastRenderedPageBreak/>
        <w:t>adequate controls for the management of flammable gas. This includes demonstrati</w:t>
      </w:r>
      <w:r>
        <w:t>ng the training and competence of all persons with obligations for this hazard.</w:t>
      </w:r>
    </w:p>
    <w:p w14:paraId="3175CAA9" w14:textId="77777777" w:rsidR="008C493C" w:rsidRDefault="00F22C08">
      <w:pPr>
        <w:tabs>
          <w:tab w:val="center" w:pos="658"/>
          <w:tab w:val="center" w:pos="4706"/>
          <w:tab w:val="right" w:pos="9347"/>
        </w:tabs>
        <w:spacing w:line="259" w:lineRule="auto"/>
        <w:ind w:left="0" w:firstLine="0"/>
        <w:jc w:val="left"/>
      </w:pPr>
      <w:r>
        <w:rPr>
          <w:sz w:val="26"/>
        </w:rPr>
        <w:tab/>
      </w:r>
      <w:r>
        <w:rPr>
          <w:sz w:val="26"/>
          <w:u w:val="single" w:color="000000"/>
        </w:rPr>
        <w:t>Number</w:t>
      </w:r>
      <w:r>
        <w:rPr>
          <w:sz w:val="26"/>
          <w:u w:val="single" w:color="000000"/>
        </w:rPr>
        <w:tab/>
        <w:t>Directive</w:t>
      </w:r>
      <w:r>
        <w:rPr>
          <w:sz w:val="26"/>
          <w:u w:val="single" w:color="000000"/>
        </w:rPr>
        <w:tab/>
        <w:t>Due Date</w:t>
      </w:r>
    </w:p>
    <w:p w14:paraId="0EEC8DAA" w14:textId="77777777" w:rsidR="008C493C" w:rsidRDefault="00F22C08">
      <w:pPr>
        <w:spacing w:after="51" w:line="259" w:lineRule="auto"/>
        <w:ind w:left="82" w:right="7" w:hanging="10"/>
        <w:jc w:val="center"/>
      </w:pPr>
      <w:r>
        <w:rPr>
          <w:sz w:val="18"/>
        </w:rPr>
        <w:t>Pursuant to section 166 of the Coal Mining Safety and Health Act 1999</w:t>
      </w:r>
    </w:p>
    <w:p w14:paraId="24036530" w14:textId="77777777" w:rsidR="008C493C" w:rsidRDefault="00F22C08">
      <w:pPr>
        <w:tabs>
          <w:tab w:val="center" w:pos="673"/>
          <w:tab w:val="center" w:pos="3134"/>
          <w:tab w:val="right" w:pos="9347"/>
        </w:tabs>
        <w:spacing w:line="259" w:lineRule="auto"/>
        <w:ind w:left="0" w:right="-15" w:firstLine="0"/>
        <w:jc w:val="left"/>
      </w:pPr>
      <w:r>
        <w:rPr>
          <w:sz w:val="26"/>
        </w:rPr>
        <w:tab/>
      </w:r>
      <w:r>
        <w:rPr>
          <w:sz w:val="26"/>
        </w:rPr>
        <w:t>2</w:t>
      </w:r>
      <w:r>
        <w:rPr>
          <w:sz w:val="26"/>
        </w:rPr>
        <w:tab/>
      </w:r>
      <w:r>
        <w:rPr>
          <w:sz w:val="26"/>
        </w:rPr>
        <w:t>Control of methane accumulations</w:t>
      </w:r>
      <w:r>
        <w:rPr>
          <w:sz w:val="26"/>
        </w:rPr>
        <w:tab/>
      </w:r>
      <w:r>
        <w:rPr>
          <w:sz w:val="26"/>
        </w:rPr>
        <w:t>16/03/2017</w:t>
      </w:r>
    </w:p>
    <w:p w14:paraId="314D9F48" w14:textId="77777777" w:rsidR="008C493C" w:rsidRDefault="00F22C08">
      <w:pPr>
        <w:spacing w:after="102"/>
        <w:ind w:left="125" w:right="79"/>
      </w:pPr>
      <w:r>
        <w:t>To review the application of adequate controls to ensure that any general body concentrations of flammable gas that exist in any workings do not eventuate in concentrations that present an unacceptable level of risk. This requires the implementation of con</w:t>
      </w:r>
      <w:r>
        <w:t>trols that are in accordance with the hierarchy of controls with respect to the magnitude of this hazard.</w:t>
      </w:r>
    </w:p>
    <w:p w14:paraId="09E45384" w14:textId="77777777" w:rsidR="008C493C" w:rsidRDefault="00F22C08">
      <w:pPr>
        <w:spacing w:line="216" w:lineRule="auto"/>
        <w:ind w:left="101" w:firstLine="0"/>
        <w:jc w:val="center"/>
      </w:pPr>
      <w:r>
        <w:rPr>
          <w:sz w:val="26"/>
        </w:rPr>
        <w:t xml:space="preserve">Please provide a written status report on each Directive together with the actions taken to address each item by h due </w:t>
      </w:r>
      <w:proofErr w:type="gramStart"/>
      <w:r>
        <w:rPr>
          <w:sz w:val="26"/>
        </w:rPr>
        <w:t>dates</w:t>
      </w:r>
      <w:proofErr w:type="gramEnd"/>
    </w:p>
    <w:p w14:paraId="1764B7F0" w14:textId="77777777" w:rsidR="008C493C" w:rsidRDefault="008C493C">
      <w:pPr>
        <w:sectPr w:rsidR="008C493C">
          <w:footerReference w:type="even" r:id="rId11"/>
          <w:footerReference w:type="default" r:id="rId12"/>
          <w:footerReference w:type="first" r:id="rId13"/>
          <w:pgSz w:w="11909" w:h="16841"/>
          <w:pgMar w:top="1662" w:right="1194" w:bottom="540" w:left="1367" w:header="720" w:footer="597" w:gutter="0"/>
          <w:cols w:space="720"/>
        </w:sectPr>
      </w:pPr>
    </w:p>
    <w:p w14:paraId="0DF12285" w14:textId="77777777" w:rsidR="008C493C" w:rsidRDefault="00F22C08">
      <w:pPr>
        <w:tabs>
          <w:tab w:val="center" w:pos="4130"/>
          <w:tab w:val="center" w:pos="6983"/>
        </w:tabs>
        <w:spacing w:line="259" w:lineRule="auto"/>
        <w:ind w:left="0" w:firstLine="0"/>
        <w:jc w:val="left"/>
      </w:pPr>
      <w:proofErr w:type="spellStart"/>
      <w:r>
        <w:rPr>
          <w:sz w:val="28"/>
        </w:rPr>
        <w:t>Shau</w:t>
      </w:r>
      <w:proofErr w:type="spellEnd"/>
      <w:r>
        <w:rPr>
          <w:sz w:val="28"/>
        </w:rPr>
        <w:t xml:space="preserve"> Dobson</w:t>
      </w:r>
      <w:r>
        <w:rPr>
          <w:sz w:val="28"/>
        </w:rPr>
        <w:tab/>
        <w:t>Richa Gouldstone</w:t>
      </w:r>
      <w:r>
        <w:rPr>
          <w:sz w:val="28"/>
        </w:rPr>
        <w:tab/>
        <w:t>Russell Albury</w:t>
      </w:r>
    </w:p>
    <w:tbl>
      <w:tblPr>
        <w:tblStyle w:val="TableGrid"/>
        <w:tblW w:w="9009" w:type="dxa"/>
        <w:tblInd w:w="0" w:type="dxa"/>
        <w:tblCellMar>
          <w:top w:w="0" w:type="dxa"/>
          <w:left w:w="0" w:type="dxa"/>
          <w:bottom w:w="0" w:type="dxa"/>
          <w:right w:w="0" w:type="dxa"/>
        </w:tblCellMar>
        <w:tblLook w:val="04A0" w:firstRow="1" w:lastRow="0" w:firstColumn="1" w:lastColumn="0" w:noHBand="0" w:noVBand="1"/>
      </w:tblPr>
      <w:tblGrid>
        <w:gridCol w:w="3087"/>
        <w:gridCol w:w="3130"/>
        <w:gridCol w:w="2792"/>
      </w:tblGrid>
      <w:tr w:rsidR="008C493C" w14:paraId="6C3AFEDB" w14:textId="77777777">
        <w:trPr>
          <w:trHeight w:val="235"/>
        </w:trPr>
        <w:tc>
          <w:tcPr>
            <w:tcW w:w="3087" w:type="dxa"/>
            <w:tcBorders>
              <w:top w:val="nil"/>
              <w:left w:val="nil"/>
              <w:bottom w:val="nil"/>
              <w:right w:val="nil"/>
            </w:tcBorders>
          </w:tcPr>
          <w:p w14:paraId="76C601DC" w14:textId="77777777" w:rsidR="008C493C" w:rsidRDefault="00F22C08">
            <w:pPr>
              <w:spacing w:line="259" w:lineRule="auto"/>
              <w:ind w:left="0" w:firstLine="0"/>
              <w:jc w:val="left"/>
            </w:pPr>
            <w:r>
              <w:t>Inspector of Mines</w:t>
            </w:r>
          </w:p>
        </w:tc>
        <w:tc>
          <w:tcPr>
            <w:tcW w:w="3130" w:type="dxa"/>
            <w:tcBorders>
              <w:top w:val="nil"/>
              <w:left w:val="nil"/>
              <w:bottom w:val="nil"/>
              <w:right w:val="nil"/>
            </w:tcBorders>
          </w:tcPr>
          <w:p w14:paraId="254241F2" w14:textId="77777777" w:rsidR="008C493C" w:rsidRDefault="00F22C08">
            <w:pPr>
              <w:spacing w:line="259" w:lineRule="auto"/>
              <w:ind w:left="7" w:firstLine="0"/>
              <w:jc w:val="left"/>
            </w:pPr>
            <w:r>
              <w:t>Inspector of Mines (Coal)</w:t>
            </w:r>
          </w:p>
        </w:tc>
        <w:tc>
          <w:tcPr>
            <w:tcW w:w="2792" w:type="dxa"/>
            <w:tcBorders>
              <w:top w:val="nil"/>
              <w:left w:val="nil"/>
              <w:bottom w:val="nil"/>
              <w:right w:val="nil"/>
            </w:tcBorders>
          </w:tcPr>
          <w:p w14:paraId="79E89F7A" w14:textId="77777777" w:rsidR="008C493C" w:rsidRDefault="00F22C08">
            <w:pPr>
              <w:spacing w:line="259" w:lineRule="auto"/>
              <w:ind w:left="0" w:firstLine="0"/>
            </w:pPr>
            <w:r>
              <w:t>Chief Inspector of Coal Mines</w:t>
            </w:r>
          </w:p>
        </w:tc>
      </w:tr>
      <w:tr w:rsidR="008C493C" w14:paraId="169C7E09" w14:textId="77777777">
        <w:trPr>
          <w:trHeight w:val="236"/>
        </w:trPr>
        <w:tc>
          <w:tcPr>
            <w:tcW w:w="3087" w:type="dxa"/>
            <w:tcBorders>
              <w:top w:val="nil"/>
              <w:left w:val="nil"/>
              <w:bottom w:val="nil"/>
              <w:right w:val="nil"/>
            </w:tcBorders>
          </w:tcPr>
          <w:p w14:paraId="2E501B5C" w14:textId="77777777" w:rsidR="008C493C" w:rsidRDefault="00F22C08">
            <w:pPr>
              <w:spacing w:line="259" w:lineRule="auto"/>
              <w:ind w:left="0" w:firstLine="0"/>
              <w:jc w:val="left"/>
            </w:pPr>
            <w:r>
              <w:t>Central Region</w:t>
            </w:r>
          </w:p>
        </w:tc>
        <w:tc>
          <w:tcPr>
            <w:tcW w:w="3130" w:type="dxa"/>
            <w:tcBorders>
              <w:top w:val="nil"/>
              <w:left w:val="nil"/>
              <w:bottom w:val="nil"/>
              <w:right w:val="nil"/>
            </w:tcBorders>
          </w:tcPr>
          <w:p w14:paraId="52365F61" w14:textId="77777777" w:rsidR="008C493C" w:rsidRDefault="00F22C08">
            <w:pPr>
              <w:spacing w:line="259" w:lineRule="auto"/>
              <w:ind w:left="0" w:firstLine="0"/>
              <w:jc w:val="left"/>
            </w:pPr>
            <w:r>
              <w:t>Central Region</w:t>
            </w:r>
          </w:p>
        </w:tc>
        <w:tc>
          <w:tcPr>
            <w:tcW w:w="2792" w:type="dxa"/>
            <w:tcBorders>
              <w:top w:val="nil"/>
              <w:left w:val="nil"/>
              <w:bottom w:val="nil"/>
              <w:right w:val="nil"/>
            </w:tcBorders>
          </w:tcPr>
          <w:p w14:paraId="0AF5E69B" w14:textId="77777777" w:rsidR="008C493C" w:rsidRDefault="008C493C">
            <w:pPr>
              <w:spacing w:after="160" w:line="259" w:lineRule="auto"/>
              <w:ind w:left="0" w:firstLine="0"/>
              <w:jc w:val="left"/>
            </w:pPr>
          </w:p>
        </w:tc>
      </w:tr>
    </w:tbl>
    <w:p w14:paraId="0C9BDBD1" w14:textId="77777777" w:rsidR="008C493C" w:rsidRDefault="00F22C08">
      <w:pPr>
        <w:spacing w:after="3" w:line="259" w:lineRule="auto"/>
        <w:ind w:right="-15" w:hanging="10"/>
        <w:jc w:val="right"/>
      </w:pPr>
      <w:r>
        <w:rPr>
          <w:sz w:val="20"/>
        </w:rPr>
        <w:t xml:space="preserve">3 </w:t>
      </w:r>
    </w:p>
    <w:sectPr w:rsidR="008C493C">
      <w:type w:val="continuous"/>
      <w:pgSz w:w="11909" w:h="16841"/>
      <w:pgMar w:top="1662" w:right="1734" w:bottom="540" w:left="14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45E0E" w14:textId="77777777" w:rsidR="00F22C08" w:rsidRDefault="00F22C08">
      <w:pPr>
        <w:spacing w:line="240" w:lineRule="auto"/>
      </w:pPr>
      <w:r>
        <w:separator/>
      </w:r>
    </w:p>
  </w:endnote>
  <w:endnote w:type="continuationSeparator" w:id="0">
    <w:p w14:paraId="393765D3" w14:textId="77777777" w:rsidR="00F22C08" w:rsidRDefault="00F22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6F4BA" w14:textId="77777777" w:rsidR="008C493C" w:rsidRDefault="00F22C08">
    <w:pPr>
      <w:tabs>
        <w:tab w:val="center" w:pos="4569"/>
        <w:tab w:val="center" w:pos="8671"/>
      </w:tabs>
      <w:spacing w:line="259" w:lineRule="auto"/>
      <w:ind w:left="0" w:firstLine="0"/>
      <w:jc w:val="left"/>
    </w:pPr>
    <w:r>
      <w:rPr>
        <w:sz w:val="18"/>
      </w:rPr>
      <w:t>07/03/2017</w:t>
    </w:r>
    <w:r>
      <w:rPr>
        <w:sz w:val="18"/>
      </w:rPr>
      <w:tab/>
    </w:r>
    <w:r>
      <w:rPr>
        <w:sz w:val="18"/>
      </w:rPr>
      <w:t>Mine Record Entry</w:t>
    </w:r>
    <w:r>
      <w:rPr>
        <w:sz w:val="18"/>
      </w:rPr>
      <w:tab/>
    </w:r>
    <w:r>
      <w:rPr>
        <w:sz w:val="20"/>
      </w:rPr>
      <w:t xml:space="preserve">Page </w:t>
    </w:r>
    <w:r>
      <w:rPr>
        <w:sz w:val="18"/>
      </w:rPr>
      <w:t xml:space="preserve">of </w:t>
    </w:r>
    <w:r>
      <w:rPr>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36155" w14:textId="77777777" w:rsidR="008C493C" w:rsidRDefault="00F22C08">
    <w:pPr>
      <w:tabs>
        <w:tab w:val="center" w:pos="4569"/>
        <w:tab w:val="center" w:pos="8671"/>
      </w:tabs>
      <w:spacing w:line="259" w:lineRule="auto"/>
      <w:ind w:left="0" w:firstLine="0"/>
      <w:jc w:val="left"/>
    </w:pPr>
    <w:r>
      <w:rPr>
        <w:sz w:val="18"/>
      </w:rPr>
      <w:t>07/03/2017</w:t>
    </w:r>
    <w:r>
      <w:rPr>
        <w:sz w:val="18"/>
      </w:rPr>
      <w:tab/>
    </w:r>
    <w:r>
      <w:rPr>
        <w:sz w:val="18"/>
      </w:rPr>
      <w:t>Mine Record Entry</w:t>
    </w:r>
    <w:r>
      <w:rPr>
        <w:sz w:val="18"/>
      </w:rPr>
      <w:tab/>
    </w:r>
    <w:r>
      <w:rPr>
        <w:sz w:val="20"/>
      </w:rPr>
      <w:t xml:space="preserve">Page </w:t>
    </w:r>
    <w:r>
      <w:rPr>
        <w:sz w:val="18"/>
      </w:rPr>
      <w:t xml:space="preserve">of </w:t>
    </w:r>
    <w:r>
      <w:rPr>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22CAD" w14:textId="77777777" w:rsidR="008C493C" w:rsidRDefault="00F22C08">
    <w:pPr>
      <w:tabs>
        <w:tab w:val="center" w:pos="4569"/>
        <w:tab w:val="center" w:pos="8671"/>
      </w:tabs>
      <w:spacing w:line="259" w:lineRule="auto"/>
      <w:ind w:left="0" w:firstLine="0"/>
      <w:jc w:val="left"/>
    </w:pPr>
    <w:r>
      <w:rPr>
        <w:sz w:val="18"/>
      </w:rPr>
      <w:t>07/03/2017</w:t>
    </w:r>
    <w:r>
      <w:rPr>
        <w:sz w:val="18"/>
      </w:rPr>
      <w:tab/>
    </w:r>
    <w:r>
      <w:rPr>
        <w:sz w:val="18"/>
      </w:rPr>
      <w:t>Mine Record Entry</w:t>
    </w:r>
    <w:r>
      <w:rPr>
        <w:sz w:val="18"/>
      </w:rPr>
      <w:tab/>
    </w:r>
    <w:r>
      <w:rPr>
        <w:sz w:val="20"/>
      </w:rPr>
      <w:t xml:space="preserve">Page </w:t>
    </w:r>
    <w:r>
      <w:rPr>
        <w:sz w:val="18"/>
      </w:rPr>
      <w:t xml:space="preserve">of </w:t>
    </w:r>
    <w:r>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F39C2" w14:textId="77777777" w:rsidR="00F22C08" w:rsidRDefault="00F22C08">
      <w:pPr>
        <w:spacing w:line="240" w:lineRule="auto"/>
      </w:pPr>
      <w:r>
        <w:separator/>
      </w:r>
    </w:p>
  </w:footnote>
  <w:footnote w:type="continuationSeparator" w:id="0">
    <w:p w14:paraId="23FE256D" w14:textId="77777777" w:rsidR="00F22C08" w:rsidRDefault="00F22C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442" style="width:5.5pt;height:5.5pt" coordsize="" o:spt="100" o:bullet="t" adj="0,,0" path="" stroked="f">
        <v:stroke joinstyle="miter"/>
        <v:imagedata r:id="rId1" o:title="image8"/>
        <v:formulas/>
        <v:path o:connecttype="segments"/>
      </v:shape>
    </w:pict>
  </w:numPicBullet>
  <w:abstractNum w:abstractNumId="0" w15:restartNumberingAfterBreak="0">
    <w:nsid w:val="24C01BB9"/>
    <w:multiLevelType w:val="hybridMultilevel"/>
    <w:tmpl w:val="76C4A9C6"/>
    <w:lvl w:ilvl="0" w:tplc="A81A99AC">
      <w:start w:val="1"/>
      <w:numFmt w:val="bullet"/>
      <w:lvlText w:val="•"/>
      <w:lvlJc w:val="left"/>
      <w:pPr>
        <w:ind w:left="369"/>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1" w:tplc="D1ECFCD4">
      <w:start w:val="1"/>
      <w:numFmt w:val="bullet"/>
      <w:lvlText w:val="o"/>
      <w:lvlJc w:val="left"/>
      <w:pPr>
        <w:ind w:left="121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2" w:tplc="F0C2D5C2">
      <w:start w:val="1"/>
      <w:numFmt w:val="bullet"/>
      <w:lvlText w:val="▪"/>
      <w:lvlJc w:val="left"/>
      <w:pPr>
        <w:ind w:left="193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3" w:tplc="1B5A8A0C">
      <w:start w:val="1"/>
      <w:numFmt w:val="bullet"/>
      <w:lvlText w:val="•"/>
      <w:lvlJc w:val="left"/>
      <w:pPr>
        <w:ind w:left="265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4" w:tplc="84F2AAB8">
      <w:start w:val="1"/>
      <w:numFmt w:val="bullet"/>
      <w:lvlText w:val="o"/>
      <w:lvlJc w:val="left"/>
      <w:pPr>
        <w:ind w:left="337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5" w:tplc="CAA0DAD8">
      <w:start w:val="1"/>
      <w:numFmt w:val="bullet"/>
      <w:lvlText w:val="▪"/>
      <w:lvlJc w:val="left"/>
      <w:pPr>
        <w:ind w:left="409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6" w:tplc="4E14D352">
      <w:start w:val="1"/>
      <w:numFmt w:val="bullet"/>
      <w:lvlText w:val="•"/>
      <w:lvlJc w:val="left"/>
      <w:pPr>
        <w:ind w:left="481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7" w:tplc="ABAEC50A">
      <w:start w:val="1"/>
      <w:numFmt w:val="bullet"/>
      <w:lvlText w:val="o"/>
      <w:lvlJc w:val="left"/>
      <w:pPr>
        <w:ind w:left="553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8" w:tplc="B2DC2BCE">
      <w:start w:val="1"/>
      <w:numFmt w:val="bullet"/>
      <w:lvlText w:val="▪"/>
      <w:lvlJc w:val="left"/>
      <w:pPr>
        <w:ind w:left="625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abstractNum>
  <w:abstractNum w:abstractNumId="1" w15:restartNumberingAfterBreak="0">
    <w:nsid w:val="30172DF0"/>
    <w:multiLevelType w:val="hybridMultilevel"/>
    <w:tmpl w:val="12F24620"/>
    <w:lvl w:ilvl="0" w:tplc="90184FB6">
      <w:start w:val="1"/>
      <w:numFmt w:val="bullet"/>
      <w:lvlText w:val="•"/>
      <w:lvlPicBulletId w:val="0"/>
      <w:lvlJc w:val="left"/>
      <w:pPr>
        <w:ind w:left="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9341FCA">
      <w:start w:val="1"/>
      <w:numFmt w:val="bullet"/>
      <w:lvlText w:val="o"/>
      <w:lvlJc w:val="left"/>
      <w:pPr>
        <w:ind w:left="14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49A8230">
      <w:start w:val="1"/>
      <w:numFmt w:val="bullet"/>
      <w:lvlText w:val="▪"/>
      <w:lvlJc w:val="left"/>
      <w:pPr>
        <w:ind w:left="21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CA2AB4C">
      <w:start w:val="1"/>
      <w:numFmt w:val="bullet"/>
      <w:lvlText w:val="•"/>
      <w:lvlJc w:val="left"/>
      <w:pPr>
        <w:ind w:left="28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A6ACD96">
      <w:start w:val="1"/>
      <w:numFmt w:val="bullet"/>
      <w:lvlText w:val="o"/>
      <w:lvlJc w:val="left"/>
      <w:pPr>
        <w:ind w:left="35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7A22BCC">
      <w:start w:val="1"/>
      <w:numFmt w:val="bullet"/>
      <w:lvlText w:val="▪"/>
      <w:lvlJc w:val="left"/>
      <w:pPr>
        <w:ind w:left="42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D821828">
      <w:start w:val="1"/>
      <w:numFmt w:val="bullet"/>
      <w:lvlText w:val="•"/>
      <w:lvlJc w:val="left"/>
      <w:pPr>
        <w:ind w:left="50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64E5DD2">
      <w:start w:val="1"/>
      <w:numFmt w:val="bullet"/>
      <w:lvlText w:val="o"/>
      <w:lvlJc w:val="left"/>
      <w:pPr>
        <w:ind w:left="57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4C2381E">
      <w:start w:val="1"/>
      <w:numFmt w:val="bullet"/>
      <w:lvlText w:val="▪"/>
      <w:lvlJc w:val="left"/>
      <w:pPr>
        <w:ind w:left="64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93C"/>
    <w:rsid w:val="008C493C"/>
    <w:rsid w:val="00CF339C"/>
    <w:rsid w:val="00F22C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BC30"/>
  <w15:docId w15:val="{1B10D737-2A8E-46BD-9717-B82052B1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5" w:lineRule="auto"/>
      <w:ind w:left="75" w:hanging="3"/>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58"/>
      <w:jc w:val="center"/>
      <w:outlineLvl w:val="0"/>
    </w:pPr>
    <w:rPr>
      <w:rFonts w:ascii="Calibri" w:eastAsia="Calibri" w:hAnsi="Calibri" w:cs="Calibri"/>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2021-02-14T03:10:00Z</dcterms:created>
  <dcterms:modified xsi:type="dcterms:W3CDTF">2021-02-14T03:10:00Z</dcterms:modified>
</cp:coreProperties>
</file>