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1" w:type="dxa"/>
        <w:tblInd w:w="94" w:type="dxa"/>
        <w:tblCellMar>
          <w:top w:w="5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43"/>
        <w:gridCol w:w="3362"/>
        <w:gridCol w:w="1847"/>
        <w:gridCol w:w="1139"/>
      </w:tblGrid>
      <w:tr w:rsidR="004F37D4" w14:paraId="08E6F473" w14:textId="77777777">
        <w:trPr>
          <w:trHeight w:val="274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C71B04" w14:textId="77777777" w:rsidR="004F37D4" w:rsidRDefault="0034705C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Mine Name</w:t>
            </w:r>
          </w:p>
        </w:tc>
        <w:tc>
          <w:tcPr>
            <w:tcW w:w="3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645027" w14:textId="77777777" w:rsidR="004F37D4" w:rsidRDefault="0034705C">
            <w:pPr>
              <w:tabs>
                <w:tab w:val="center" w:pos="1778"/>
              </w:tabs>
              <w:spacing w:after="0" w:line="259" w:lineRule="auto"/>
              <w:ind w:left="0" w:firstLine="0"/>
            </w:pPr>
            <w:r>
              <w:rPr>
                <w:sz w:val="24"/>
              </w:rPr>
              <w:t>Mine ID</w:t>
            </w:r>
            <w:r>
              <w:rPr>
                <w:sz w:val="24"/>
              </w:rPr>
              <w:tab/>
              <w:t>Operator</w:t>
            </w:r>
          </w:p>
        </w:tc>
        <w:tc>
          <w:tcPr>
            <w:tcW w:w="1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63D0FE" w14:textId="77777777" w:rsidR="004F37D4" w:rsidRDefault="0034705C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Activity Type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557E9C" w14:textId="77777777" w:rsidR="004F37D4" w:rsidRDefault="0034705C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Activity Date</w:t>
            </w:r>
          </w:p>
        </w:tc>
      </w:tr>
      <w:tr w:rsidR="004F37D4" w14:paraId="53546E4A" w14:textId="77777777">
        <w:trPr>
          <w:trHeight w:val="497"/>
        </w:trPr>
        <w:tc>
          <w:tcPr>
            <w:tcW w:w="2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3CA816" w14:textId="77777777" w:rsidR="004F37D4" w:rsidRDefault="0034705C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North Goonyella</w:t>
            </w:r>
          </w:p>
        </w:tc>
        <w:tc>
          <w:tcPr>
            <w:tcW w:w="3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91254" w14:textId="77777777" w:rsidR="004F37D4" w:rsidRDefault="0034705C">
            <w:pPr>
              <w:spacing w:after="0" w:line="259" w:lineRule="auto"/>
              <w:ind w:left="1671" w:right="345" w:hanging="1671"/>
            </w:pPr>
            <w:r>
              <w:rPr>
                <w:sz w:val="22"/>
              </w:rPr>
              <w:t>MIO 1157 Peabody (Bowen) Pty Ltd</w:t>
            </w:r>
          </w:p>
        </w:tc>
        <w:tc>
          <w:tcPr>
            <w:tcW w:w="18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112583" w14:textId="77777777" w:rsidR="004F37D4" w:rsidRDefault="0034705C">
            <w:pPr>
              <w:spacing w:after="0" w:line="259" w:lineRule="auto"/>
              <w:ind w:left="71" w:firstLine="0"/>
            </w:pPr>
            <w:r>
              <w:rPr>
                <w:sz w:val="20"/>
              </w:rPr>
              <w:t>Site Meeting</w:t>
            </w: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D8FC50" w14:textId="77777777" w:rsidR="004F37D4" w:rsidRDefault="0034705C">
            <w:pPr>
              <w:spacing w:after="0" w:line="259" w:lineRule="auto"/>
              <w:ind w:left="41" w:firstLine="0"/>
            </w:pPr>
            <w:r>
              <w:rPr>
                <w:sz w:val="22"/>
              </w:rPr>
              <w:t>27/09/2018</w:t>
            </w:r>
          </w:p>
        </w:tc>
      </w:tr>
    </w:tbl>
    <w:p w14:paraId="6917F5EE" w14:textId="77777777" w:rsidR="004F37D4" w:rsidRDefault="0034705C">
      <w:pPr>
        <w:spacing w:after="127" w:line="259" w:lineRule="auto"/>
        <w:ind w:left="69" w:right="-13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3551E13" wp14:editId="436F7946">
                <wp:extent cx="5939337" cy="12907"/>
                <wp:effectExtent l="0" t="0" r="0" b="0"/>
                <wp:docPr id="11882" name="Group 11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337" cy="12907"/>
                          <a:chOff x="0" y="0"/>
                          <a:chExt cx="5939337" cy="12907"/>
                        </a:xfrm>
                      </wpg:grpSpPr>
                      <wps:wsp>
                        <wps:cNvPr id="11881" name="Shape 11881"/>
                        <wps:cNvSpPr/>
                        <wps:spPr>
                          <a:xfrm>
                            <a:off x="0" y="0"/>
                            <a:ext cx="5939337" cy="1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337" h="12907">
                                <a:moveTo>
                                  <a:pt x="0" y="6454"/>
                                </a:moveTo>
                                <a:lnTo>
                                  <a:pt x="5939337" y="6454"/>
                                </a:lnTo>
                              </a:path>
                            </a:pathLst>
                          </a:custGeom>
                          <a:ln w="1290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882" style="width:467.664pt;height:1.01633pt;mso-position-horizontal-relative:char;mso-position-vertical-relative:line" coordsize="59393,129">
                <v:shape id="Shape 11881" style="position:absolute;width:59393;height:129;left:0;top:0;" coordsize="5939337,12907" path="m0,6454l5939337,6454">
                  <v:stroke weight="1.016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429EA0" w14:textId="77777777" w:rsidR="004F37D4" w:rsidRDefault="0034705C">
      <w:pPr>
        <w:spacing w:after="336" w:line="259" w:lineRule="auto"/>
        <w:ind w:left="201" w:firstLine="0"/>
        <w:jc w:val="center"/>
      </w:pPr>
      <w:r>
        <w:rPr>
          <w:sz w:val="20"/>
        </w:rPr>
        <w:t>Vision: Our Industries Free of Safety and Health Incidents</w:t>
      </w:r>
    </w:p>
    <w:p w14:paraId="31CC40EF" w14:textId="77777777" w:rsidR="004F37D4" w:rsidRDefault="0034705C">
      <w:pPr>
        <w:pStyle w:val="Heading1"/>
      </w:pPr>
      <w:r>
        <w:t>Mine Record Entry</w:t>
      </w:r>
    </w:p>
    <w:p w14:paraId="03E3DE61" w14:textId="77777777" w:rsidR="004F37D4" w:rsidRDefault="0034705C">
      <w:pPr>
        <w:spacing w:after="0" w:line="259" w:lineRule="auto"/>
        <w:ind w:left="150" w:firstLine="0"/>
        <w:jc w:val="center"/>
      </w:pPr>
      <w:r>
        <w:t>This report forms part of the Mine Record under s68 of the Coal Mining Safety and</w:t>
      </w:r>
    </w:p>
    <w:p w14:paraId="57D6E2A3" w14:textId="77777777" w:rsidR="004F37D4" w:rsidRDefault="0034705C">
      <w:pPr>
        <w:spacing w:after="90" w:line="216" w:lineRule="auto"/>
        <w:ind w:left="0" w:firstLine="0"/>
        <w:jc w:val="center"/>
      </w:pPr>
      <w:r>
        <w:rPr>
          <w:sz w:val="28"/>
        </w:rPr>
        <w:t>Health Act 1999. It must be placed in the Mine Record and displayed on Safety Notice Boards.</w:t>
      </w:r>
    </w:p>
    <w:p w14:paraId="69C17848" w14:textId="77777777" w:rsidR="004F37D4" w:rsidRDefault="0034705C">
      <w:pPr>
        <w:spacing w:after="52" w:line="259" w:lineRule="auto"/>
        <w:ind w:firstLine="102"/>
        <w:jc w:val="both"/>
      </w:pPr>
      <w:r>
        <w:t xml:space="preserve">Note that inspection or audit activities conducted by the Mines Inspectorate are based </w:t>
      </w:r>
      <w:r>
        <w:t xml:space="preserve">upon sample techniques, </w:t>
      </w:r>
      <w:proofErr w:type="gramStart"/>
      <w:r>
        <w:t>It</w:t>
      </w:r>
      <w:proofErr w:type="gramEnd"/>
      <w:r>
        <w:t xml:space="preserve"> remains the primary responsibility of Mine Person</w:t>
      </w:r>
      <w:r>
        <w:t xml:space="preserve">nel to identify hazards, and risks associated with Operations and ensure those risks are at an </w:t>
      </w:r>
      <w:r>
        <w:t>acceptable level.</w:t>
      </w:r>
    </w:p>
    <w:p w14:paraId="3E303FAB" w14:textId="77777777" w:rsidR="004F37D4" w:rsidRDefault="0034705C">
      <w:pPr>
        <w:spacing w:after="342"/>
        <w:ind w:left="89" w:right="165"/>
      </w:pPr>
      <w:r>
        <w:t>Site Safety &amp; Health Reps Consulted: Mr John Pearson</w:t>
      </w:r>
    </w:p>
    <w:p w14:paraId="5C0750F8" w14:textId="77777777" w:rsidR="004F37D4" w:rsidRDefault="0034705C">
      <w:pPr>
        <w:spacing w:after="58"/>
        <w:ind w:left="89" w:right="165"/>
      </w:pPr>
      <w:r>
        <w:t>Today, Thursday 27 September 2018 the following Inspectors attended North Goonyella Mine t</w:t>
      </w:r>
      <w:r>
        <w:t xml:space="preserve">o attend a meeting </w:t>
      </w:r>
      <w:proofErr w:type="gramStart"/>
      <w:r>
        <w:t>in regard to</w:t>
      </w:r>
      <w:proofErr w:type="gramEnd"/>
      <w:r>
        <w:t xml:space="preserve"> progress on dealing with the spontaneous combustion event currently in progress.</w:t>
      </w:r>
    </w:p>
    <w:p w14:paraId="1FBA2FBC" w14:textId="77777777" w:rsidR="004F37D4" w:rsidRDefault="0034705C">
      <w:pPr>
        <w:spacing w:after="27" w:line="259" w:lineRule="auto"/>
        <w:ind w:left="94" w:hanging="10"/>
        <w:jc w:val="both"/>
      </w:pPr>
      <w:r>
        <w:rPr>
          <w:sz w:val="28"/>
        </w:rPr>
        <w:t>Shaun Dobson - Deputy Chief Inspector</w:t>
      </w:r>
    </w:p>
    <w:tbl>
      <w:tblPr>
        <w:tblStyle w:val="TableGrid"/>
        <w:tblpPr w:vertAnchor="page" w:horzAnchor="page" w:tblpX="1986" w:tblpY="1814"/>
        <w:tblOverlap w:val="never"/>
        <w:tblW w:w="7905" w:type="dxa"/>
        <w:tblInd w:w="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4572"/>
        <w:gridCol w:w="3038"/>
      </w:tblGrid>
      <w:tr w:rsidR="004F37D4" w14:paraId="5DBBDBCA" w14:textId="77777777">
        <w:trPr>
          <w:trHeight w:val="17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4C5F984" w14:textId="77777777" w:rsidR="004F37D4" w:rsidRDefault="0034705C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7A021BF5" w14:textId="77777777" w:rsidR="004F37D4" w:rsidRDefault="004F37D4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DF7927F" w14:textId="77777777" w:rsidR="004F37D4" w:rsidRDefault="0034705C">
            <w:pPr>
              <w:spacing w:after="0" w:line="259" w:lineRule="auto"/>
              <w:ind w:left="10" w:firstLine="0"/>
            </w:pPr>
            <w:r>
              <w:rPr>
                <w:sz w:val="18"/>
              </w:rPr>
              <w:t>Mackay Office</w:t>
            </w:r>
          </w:p>
        </w:tc>
      </w:tr>
      <w:tr w:rsidR="004F37D4" w14:paraId="6D448FA8" w14:textId="77777777">
        <w:trPr>
          <w:trHeight w:val="39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AEBC36E" w14:textId="77777777" w:rsidR="004F37D4" w:rsidRDefault="004F37D4">
            <w:pPr>
              <w:spacing w:after="160" w:line="259" w:lineRule="auto"/>
              <w:ind w:left="0" w:firstLine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50DC8" w14:textId="77777777" w:rsidR="004F37D4" w:rsidRDefault="0034705C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>Queensland Government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69DE7BAF" w14:textId="77777777" w:rsidR="004F37D4" w:rsidRDefault="0034705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P.O. Box 1801, Mackay QLD 4740</w:t>
            </w:r>
          </w:p>
          <w:p w14:paraId="173BD419" w14:textId="77777777" w:rsidR="004F37D4" w:rsidRDefault="0034705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Phone: 07 4999 8512. Fax: 07 4999 8519</w:t>
            </w:r>
          </w:p>
        </w:tc>
      </w:tr>
    </w:tbl>
    <w:p w14:paraId="7A48124B" w14:textId="77777777" w:rsidR="004F37D4" w:rsidRDefault="0034705C">
      <w:pPr>
        <w:ind w:left="89" w:right="165"/>
      </w:pPr>
      <w:r>
        <w:t>Richard Gouldstone - Inspector of Mines</w:t>
      </w:r>
    </w:p>
    <w:p w14:paraId="39F2C799" w14:textId="77777777" w:rsidR="004F37D4" w:rsidRDefault="0034705C">
      <w:pPr>
        <w:ind w:left="89" w:right="165"/>
      </w:pPr>
      <w:r>
        <w:t>Geoff Nugent - Inspector of Mines</w:t>
      </w:r>
    </w:p>
    <w:p w14:paraId="31E01844" w14:textId="77777777" w:rsidR="004F37D4" w:rsidRDefault="0034705C">
      <w:pPr>
        <w:spacing w:after="44"/>
        <w:ind w:left="89" w:right="165"/>
      </w:pPr>
      <w:r>
        <w:t>Stephen Smith - Inspector of Mines</w:t>
      </w:r>
    </w:p>
    <w:p w14:paraId="7D0FC0D1" w14:textId="77777777" w:rsidR="004F37D4" w:rsidRDefault="0034705C">
      <w:pPr>
        <w:spacing w:after="198"/>
        <w:ind w:left="89" w:right="165"/>
      </w:pPr>
      <w:r>
        <w:t>Meeting at 8:30am Thursday 27 September 2018</w:t>
      </w:r>
    </w:p>
    <w:p w14:paraId="60650324" w14:textId="77777777" w:rsidR="004F37D4" w:rsidRDefault="0034705C">
      <w:pPr>
        <w:ind w:left="89" w:right="165"/>
      </w:pPr>
      <w:r>
        <w:t>Attendees -</w:t>
      </w:r>
    </w:p>
    <w:p w14:paraId="1E36679A" w14:textId="77777777" w:rsidR="004F37D4" w:rsidRDefault="0034705C">
      <w:pPr>
        <w:spacing w:line="259" w:lineRule="auto"/>
        <w:ind w:left="94" w:hanging="10"/>
        <w:jc w:val="both"/>
      </w:pPr>
      <w:r>
        <w:rPr>
          <w:sz w:val="28"/>
        </w:rPr>
        <w:t>John Pearson (SSHR)</w:t>
      </w:r>
    </w:p>
    <w:p w14:paraId="28314B86" w14:textId="77777777" w:rsidR="004F37D4" w:rsidRDefault="0034705C">
      <w:pPr>
        <w:ind w:left="89" w:right="165"/>
      </w:pPr>
      <w:r>
        <w:t>Andy Hislop (GM Metropolitan Colliery NSW)</w:t>
      </w:r>
    </w:p>
    <w:p w14:paraId="062B1F96" w14:textId="77777777" w:rsidR="004F37D4" w:rsidRDefault="0034705C">
      <w:pPr>
        <w:ind w:left="89" w:right="165"/>
      </w:pPr>
      <w:r>
        <w:t>Marek Romanski (UMM)</w:t>
      </w:r>
    </w:p>
    <w:p w14:paraId="3F67710B" w14:textId="77777777" w:rsidR="004F37D4" w:rsidRDefault="0034705C">
      <w:pPr>
        <w:ind w:left="89" w:right="165"/>
      </w:pPr>
      <w:r>
        <w:t xml:space="preserve">Nev </w:t>
      </w:r>
      <w:proofErr w:type="spellStart"/>
      <w:r>
        <w:t>Impson</w:t>
      </w:r>
      <w:proofErr w:type="spellEnd"/>
      <w:r>
        <w:t xml:space="preserve"> (Compliance Manager)</w:t>
      </w:r>
    </w:p>
    <w:p w14:paraId="7E688BA2" w14:textId="77777777" w:rsidR="004F37D4" w:rsidRDefault="0034705C">
      <w:pPr>
        <w:spacing w:line="259" w:lineRule="auto"/>
        <w:ind w:left="94" w:hanging="10"/>
        <w:jc w:val="both"/>
      </w:pPr>
      <w:r>
        <w:rPr>
          <w:sz w:val="28"/>
        </w:rPr>
        <w:t>John Anger (SSE)</w:t>
      </w:r>
    </w:p>
    <w:p w14:paraId="0BC1C17D" w14:textId="77777777" w:rsidR="004F37D4" w:rsidRDefault="0034705C">
      <w:pPr>
        <w:ind w:left="89" w:right="165"/>
      </w:pPr>
      <w:r>
        <w:t>Martin Watkinson (SIMTARS)</w:t>
      </w:r>
    </w:p>
    <w:p w14:paraId="232880CC" w14:textId="77777777" w:rsidR="004F37D4" w:rsidRDefault="0034705C">
      <w:pPr>
        <w:ind w:left="89" w:right="165"/>
      </w:pPr>
      <w:r>
        <w:t>Mike Carter (SSE Millennium)</w:t>
      </w:r>
    </w:p>
    <w:p w14:paraId="63E1E846" w14:textId="77777777" w:rsidR="004F37D4" w:rsidRDefault="0034705C">
      <w:pPr>
        <w:ind w:left="89" w:right="165"/>
      </w:pPr>
      <w:r>
        <w:lastRenderedPageBreak/>
        <w:t>Peter Baker (Peabody Operations Manager)</w:t>
      </w:r>
    </w:p>
    <w:p w14:paraId="6C98C149" w14:textId="77777777" w:rsidR="004F37D4" w:rsidRDefault="0034705C">
      <w:pPr>
        <w:spacing w:after="0" w:line="259" w:lineRule="auto"/>
        <w:ind w:left="23" w:hanging="10"/>
      </w:pPr>
      <w:r>
        <w:rPr>
          <w:sz w:val="30"/>
        </w:rPr>
        <w:t xml:space="preserve">Sean Muller (SIMTARS) </w:t>
      </w:r>
      <w:r>
        <w:rPr>
          <w:noProof/>
        </w:rPr>
        <w:drawing>
          <wp:inline distT="0" distB="0" distL="0" distR="0" wp14:anchorId="268C3904" wp14:editId="6C7405F9">
            <wp:extent cx="3226" cy="6454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6" cy="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F106" w14:textId="77777777" w:rsidR="004F37D4" w:rsidRDefault="0034705C">
      <w:pPr>
        <w:spacing w:line="259" w:lineRule="auto"/>
        <w:ind w:left="94" w:hanging="10"/>
        <w:jc w:val="both"/>
      </w:pPr>
      <w:r>
        <w:rPr>
          <w:sz w:val="28"/>
        </w:rPr>
        <w:t>Ross Bannerman (Peabody Legal Counsel)</w:t>
      </w:r>
    </w:p>
    <w:p w14:paraId="059A556A" w14:textId="77777777" w:rsidR="004F37D4" w:rsidRDefault="0034705C">
      <w:pPr>
        <w:spacing w:line="259" w:lineRule="auto"/>
        <w:ind w:left="94" w:hanging="10"/>
        <w:jc w:val="both"/>
      </w:pPr>
      <w:r>
        <w:rPr>
          <w:sz w:val="28"/>
        </w:rPr>
        <w:t>Gavin Shields (HST Manager)</w:t>
      </w:r>
    </w:p>
    <w:p w14:paraId="0CCB7C02" w14:textId="77777777" w:rsidR="004F37D4" w:rsidRDefault="0034705C">
      <w:pPr>
        <w:spacing w:line="259" w:lineRule="auto"/>
        <w:ind w:left="94" w:hanging="10"/>
        <w:jc w:val="both"/>
      </w:pPr>
      <w:r>
        <w:rPr>
          <w:sz w:val="28"/>
        </w:rPr>
        <w:t xml:space="preserve">George Schuler (GM Peabody </w:t>
      </w:r>
      <w:proofErr w:type="spellStart"/>
      <w:r>
        <w:rPr>
          <w:sz w:val="28"/>
        </w:rPr>
        <w:t>AUST.Operations</w:t>
      </w:r>
      <w:proofErr w:type="spellEnd"/>
      <w:r>
        <w:rPr>
          <w:sz w:val="28"/>
        </w:rPr>
        <w:t>)</w:t>
      </w:r>
    </w:p>
    <w:p w14:paraId="75610A8D" w14:textId="77777777" w:rsidR="004F37D4" w:rsidRDefault="0034705C">
      <w:pPr>
        <w:ind w:left="89" w:right="165"/>
      </w:pPr>
      <w:r>
        <w:t>Shane Fleming (Engineering and Maintenance Manager)</w:t>
      </w:r>
    </w:p>
    <w:p w14:paraId="26DEBB69" w14:textId="77777777" w:rsidR="004F37D4" w:rsidRDefault="0034705C">
      <w:pPr>
        <w:spacing w:after="154"/>
        <w:ind w:left="89" w:right="165"/>
      </w:pPr>
      <w:r>
        <w:t>By dial in — Michael Brady (Consultant) Darren Brady (Consultant)</w:t>
      </w:r>
    </w:p>
    <w:p w14:paraId="49C86C1B" w14:textId="77777777" w:rsidR="004F37D4" w:rsidRDefault="0034705C">
      <w:pPr>
        <w:spacing w:after="196"/>
        <w:ind w:left="18" w:right="165"/>
      </w:pPr>
      <w:r>
        <w:t>The Mine provided the follo</w:t>
      </w:r>
      <w:r>
        <w:t>wing summary,</w:t>
      </w:r>
    </w:p>
    <w:p w14:paraId="28E83428" w14:textId="77777777" w:rsidR="004F37D4" w:rsidRDefault="0034705C">
      <w:pPr>
        <w:spacing w:after="141" w:line="259" w:lineRule="auto"/>
        <w:ind w:left="23" w:hanging="10"/>
      </w:pPr>
      <w:r>
        <w:rPr>
          <w:sz w:val="30"/>
        </w:rPr>
        <w:t>Last 24 Hours</w:t>
      </w:r>
    </w:p>
    <w:p w14:paraId="6F25AF08" w14:textId="77777777" w:rsidR="004F37D4" w:rsidRDefault="0034705C">
      <w:pPr>
        <w:spacing w:line="378" w:lineRule="auto"/>
        <w:ind w:left="28" w:right="2459"/>
      </w:pPr>
      <w:proofErr w:type="spellStart"/>
      <w:r>
        <w:t>i</w:t>
      </w:r>
      <w:proofErr w:type="spellEnd"/>
      <w:r>
        <w:t>) Inertisation; LN2 set up ran out of feed at 16:00 ETA N2 1 1 :00 ii) Continued with inertisation iii) 2 hourly bag samples taken from TB</w:t>
      </w:r>
      <w:proofErr w:type="gramStart"/>
      <w:r>
        <w:t>14 ,</w:t>
      </w:r>
      <w:proofErr w:type="gramEnd"/>
      <w:r>
        <w:t xml:space="preserve"> 25 and 26 iv) Gas Chromatograph and </w:t>
      </w:r>
      <w:proofErr w:type="spellStart"/>
      <w:r>
        <w:t>Simtars</w:t>
      </w:r>
      <w:proofErr w:type="spellEnd"/>
      <w:r>
        <w:t xml:space="preserve"> lab set up and operational</w:t>
      </w:r>
    </w:p>
    <w:p w14:paraId="13B8B135" w14:textId="77777777" w:rsidR="004F37D4" w:rsidRDefault="0034705C">
      <w:pPr>
        <w:numPr>
          <w:ilvl w:val="0"/>
          <w:numId w:val="1"/>
        </w:numPr>
        <w:spacing w:after="190"/>
        <w:ind w:right="1017"/>
      </w:pPr>
      <w:r>
        <w:t>DR 1265 GN269</w:t>
      </w:r>
      <w:r>
        <w:t xml:space="preserve">9 drilled to 294m started losing circulation. Preparing rig to </w:t>
      </w:r>
      <w:proofErr w:type="spellStart"/>
      <w:r>
        <w:t>resite</w:t>
      </w:r>
      <w:proofErr w:type="spellEnd"/>
      <w:r>
        <w:t xml:space="preserve"> at </w:t>
      </w:r>
      <w:proofErr w:type="gramStart"/>
      <w:r>
        <w:t>GN2703</w:t>
      </w:r>
      <w:proofErr w:type="gramEnd"/>
    </w:p>
    <w:p w14:paraId="2F72F5ED" w14:textId="77777777" w:rsidR="004F37D4" w:rsidRDefault="0034705C">
      <w:pPr>
        <w:numPr>
          <w:ilvl w:val="0"/>
          <w:numId w:val="1"/>
        </w:numPr>
        <w:spacing w:line="353" w:lineRule="auto"/>
        <w:ind w:right="1017"/>
      </w:pPr>
      <w:r>
        <w:t xml:space="preserve">DR 1218 GN2702 </w:t>
      </w:r>
      <w:r>
        <w:rPr>
          <w:vertAlign w:val="superscript"/>
        </w:rPr>
        <w:t xml:space="preserve">I </w:t>
      </w:r>
      <w:r>
        <w:t xml:space="preserve">rat hole' drilled, about to start drilling at 06:00 vii) DR 1226 GN2701 reported at 06:00 to be at </w:t>
      </w:r>
      <w:proofErr w:type="gramStart"/>
      <w:r>
        <w:t>362m</w:t>
      </w:r>
      <w:proofErr w:type="gramEnd"/>
    </w:p>
    <w:p w14:paraId="68515D5C" w14:textId="77777777" w:rsidR="004F37D4" w:rsidRDefault="0034705C">
      <w:pPr>
        <w:ind w:left="13" w:right="165"/>
      </w:pPr>
      <w:r>
        <w:t xml:space="preserve">viii) Improved purity on </w:t>
      </w:r>
      <w:proofErr w:type="spellStart"/>
      <w:r>
        <w:t>Floxals</w:t>
      </w:r>
      <w:proofErr w:type="spellEnd"/>
      <w:r>
        <w:t xml:space="preserve"> 615,2 and 1, but reduc</w:t>
      </w:r>
      <w:r>
        <w:t xml:space="preserve">ed flow by </w:t>
      </w:r>
      <w:proofErr w:type="spellStart"/>
      <w:r>
        <w:t>approx</w:t>
      </w:r>
      <w:proofErr w:type="spellEnd"/>
      <w:r>
        <w:t xml:space="preserve"> 2001/s with</w:t>
      </w:r>
    </w:p>
    <w:p w14:paraId="14779194" w14:textId="77777777" w:rsidR="004F37D4" w:rsidRDefault="0034705C">
      <w:pPr>
        <w:spacing w:line="389" w:lineRule="auto"/>
        <w:ind w:left="23" w:right="6010" w:hanging="10"/>
        <w:jc w:val="both"/>
      </w:pPr>
      <w:r>
        <w:rPr>
          <w:sz w:val="28"/>
        </w:rPr>
        <w:t xml:space="preserve">02&lt;20/0 </w:t>
      </w:r>
      <w:r>
        <w:rPr>
          <w:sz w:val="28"/>
        </w:rPr>
        <w:t xml:space="preserve">ix) Maintained exclusion </w:t>
      </w:r>
      <w:proofErr w:type="gramStart"/>
      <w:r>
        <w:rPr>
          <w:sz w:val="28"/>
        </w:rPr>
        <w:t>zones</w:t>
      </w:r>
      <w:proofErr w:type="gramEnd"/>
    </w:p>
    <w:p w14:paraId="4A18979B" w14:textId="77777777" w:rsidR="004F37D4" w:rsidRDefault="0034705C">
      <w:pPr>
        <w:spacing w:after="420"/>
        <w:ind w:left="13" w:right="165"/>
      </w:pPr>
      <w:r>
        <w:t>x) Bag sample taken from GN2693 at 00:24 showed Nil CO or Ethylene</w:t>
      </w:r>
    </w:p>
    <w:p w14:paraId="2C7D0208" w14:textId="77777777" w:rsidR="004F37D4" w:rsidRDefault="0034705C">
      <w:pPr>
        <w:spacing w:after="189" w:line="259" w:lineRule="auto"/>
        <w:ind w:left="33" w:hanging="10"/>
        <w:jc w:val="both"/>
      </w:pPr>
      <w:r>
        <w:rPr>
          <w:sz w:val="28"/>
        </w:rPr>
        <w:t>Next 24</w:t>
      </w:r>
    </w:p>
    <w:p w14:paraId="52C3B5E3" w14:textId="77777777" w:rsidR="004F37D4" w:rsidRDefault="0034705C">
      <w:pPr>
        <w:spacing w:after="5" w:line="385" w:lineRule="auto"/>
        <w:ind w:left="8" w:right="3714" w:firstLine="0"/>
        <w:jc w:val="both"/>
      </w:pPr>
      <w:proofErr w:type="spellStart"/>
      <w:r>
        <w:t>i</w:t>
      </w:r>
      <w:proofErr w:type="spellEnd"/>
      <w:r>
        <w:t>) Maintain exclusion zones ii) Limit personnel access to site iii) Continue to drill GN2702, GN2701 GN2703 iv) Continue to sample TB14, TB24, TB25 and TB26</w:t>
      </w:r>
    </w:p>
    <w:p w14:paraId="39259C28" w14:textId="77777777" w:rsidR="004F37D4" w:rsidRDefault="0034705C">
      <w:pPr>
        <w:spacing w:after="482" w:line="372" w:lineRule="auto"/>
        <w:ind w:left="18" w:right="1849"/>
      </w:pPr>
      <w:r>
        <w:t>v) Prepare to plug MG chute as soon as GN2701 is complete vi) Define monitoring points; Face side o</w:t>
      </w:r>
      <w:r>
        <w:t xml:space="preserve">f MG chute and 2ct A </w:t>
      </w:r>
      <w:proofErr w:type="spellStart"/>
      <w:r>
        <w:t>Hdg</w:t>
      </w:r>
      <w:proofErr w:type="spellEnd"/>
      <w:r>
        <w:t xml:space="preserve"> 9N Meeting Notes</w:t>
      </w:r>
    </w:p>
    <w:p w14:paraId="72E48A70" w14:textId="77777777" w:rsidR="004F37D4" w:rsidRDefault="0034705C">
      <w:pPr>
        <w:spacing w:after="194"/>
        <w:ind w:left="465" w:right="165" w:hanging="244"/>
      </w:pPr>
      <w:r>
        <w:lastRenderedPageBreak/>
        <w:t xml:space="preserve">e GN 2701 is expected to hole at 10pm tonight. The directional head is then to be deployed to 2703 MG9 </w:t>
      </w:r>
      <w:proofErr w:type="gramStart"/>
      <w:r>
        <w:t>2ct</w:t>
      </w:r>
      <w:proofErr w:type="gramEnd"/>
    </w:p>
    <w:p w14:paraId="449FD7B5" w14:textId="77777777" w:rsidR="004F37D4" w:rsidRDefault="0034705C">
      <w:pPr>
        <w:spacing w:after="201"/>
        <w:ind w:left="465" w:right="165" w:hanging="244"/>
      </w:pPr>
      <w:r>
        <w:t xml:space="preserve">e 2702 commence drilling 0600hrs 27/9/2018 Each hole takes approximately 3 days to </w:t>
      </w:r>
      <w:proofErr w:type="gramStart"/>
      <w:r>
        <w:t>drill</w:t>
      </w:r>
      <w:proofErr w:type="gramEnd"/>
    </w:p>
    <w:p w14:paraId="43231FAF" w14:textId="77777777" w:rsidR="004F37D4" w:rsidRDefault="0034705C">
      <w:pPr>
        <w:spacing w:after="210"/>
        <w:ind w:left="475" w:right="165" w:hanging="254"/>
      </w:pPr>
      <w:r>
        <w:t>e TB 25 is sited i</w:t>
      </w:r>
      <w:r>
        <w:t>n a ventilation current of 92 cubic metres/s and TB 26 in 41 Cubic metres/s close to the main ventilation fan.</w:t>
      </w:r>
    </w:p>
    <w:p w14:paraId="358349C0" w14:textId="77777777" w:rsidR="004F37D4" w:rsidRDefault="0034705C">
      <w:pPr>
        <w:spacing w:after="272" w:line="216" w:lineRule="auto"/>
        <w:ind w:left="470" w:right="214" w:hanging="249"/>
        <w:jc w:val="both"/>
      </w:pPr>
      <w:r>
        <w:t>e It is planned to sequentially plug GN2701 (MG Chute), GN2702 (</w:t>
      </w:r>
      <w:proofErr w:type="spellStart"/>
      <w:r>
        <w:t>Ahdg</w:t>
      </w:r>
      <w:proofErr w:type="spellEnd"/>
      <w:r>
        <w:t xml:space="preserve"> 1-2ct) and then GN2703 (2ct A-B) as they become available. Once the MG chute</w:t>
      </w:r>
      <w:r>
        <w:t xml:space="preserve"> is plugged the products of the spontaneous combustion are predicted to travel inbye so the LW will then be monitored using TB27 MG9 and TB37 24-25ct.</w:t>
      </w:r>
    </w:p>
    <w:p w14:paraId="08B1280A" w14:textId="77777777" w:rsidR="004F37D4" w:rsidRDefault="0034705C">
      <w:pPr>
        <w:numPr>
          <w:ilvl w:val="0"/>
          <w:numId w:val="2"/>
        </w:numPr>
        <w:spacing w:after="204"/>
        <w:ind w:right="165" w:hanging="259"/>
      </w:pPr>
      <w:r>
        <w:t>Liquid N2 supply ran out at 1600hrs 26/9/18 and the next delivery is expected at 1100hrs 27/9/2018 with further supply reported in transit.</w:t>
      </w:r>
    </w:p>
    <w:p w14:paraId="0F59C095" w14:textId="77777777" w:rsidR="004F37D4" w:rsidRDefault="0034705C">
      <w:pPr>
        <w:numPr>
          <w:ilvl w:val="0"/>
          <w:numId w:val="2"/>
        </w:numPr>
        <w:spacing w:after="318"/>
        <w:ind w:right="165" w:hanging="259"/>
      </w:pPr>
      <w:r>
        <w:t>Reviewing secondary seals researching products and processes (cementitious</w:t>
      </w:r>
    </w:p>
    <w:p w14:paraId="013DC968" w14:textId="77777777" w:rsidR="004F37D4" w:rsidRDefault="0034705C">
      <w:pPr>
        <w:numPr>
          <w:ilvl w:val="0"/>
          <w:numId w:val="2"/>
        </w:numPr>
        <w:spacing w:after="191"/>
        <w:ind w:right="165" w:hanging="259"/>
      </w:pPr>
      <w:r>
        <w:t>Bag sample out of 2693 (80m above seam) s</w:t>
      </w:r>
      <w:r>
        <w:t xml:space="preserve">howed no CO or Hydrogen but may not be representative of the atmosphere at </w:t>
      </w:r>
      <w:proofErr w:type="spellStart"/>
      <w:r>
        <w:t>seam</w:t>
      </w:r>
      <w:proofErr w:type="spellEnd"/>
      <w:r>
        <w:t xml:space="preserve"> level.</w:t>
      </w:r>
    </w:p>
    <w:p w14:paraId="3A6453E1" w14:textId="77777777" w:rsidR="004F37D4" w:rsidRDefault="0034705C">
      <w:pPr>
        <w:numPr>
          <w:ilvl w:val="0"/>
          <w:numId w:val="2"/>
        </w:numPr>
        <w:spacing w:after="53"/>
        <w:ind w:right="165" w:hanging="259"/>
      </w:pPr>
      <w:r>
        <w:t xml:space="preserve">GAG not placed on standby at this </w:t>
      </w:r>
      <w:proofErr w:type="gramStart"/>
      <w:r>
        <w:t>stage</w:t>
      </w:r>
      <w:proofErr w:type="gramEnd"/>
    </w:p>
    <w:p w14:paraId="35F2A1F3" w14:textId="77777777" w:rsidR="004F37D4" w:rsidRDefault="0034705C">
      <w:pPr>
        <w:numPr>
          <w:ilvl w:val="0"/>
          <w:numId w:val="2"/>
        </w:numPr>
        <w:spacing w:after="214"/>
        <w:ind w:right="165" w:hanging="259"/>
      </w:pPr>
      <w:r>
        <w:t xml:space="preserve">Products of the spontaneous combustion event were visible at the main fan </w:t>
      </w:r>
      <w:proofErr w:type="spellStart"/>
      <w:r>
        <w:t>evasee</w:t>
      </w:r>
      <w:proofErr w:type="spellEnd"/>
      <w:r>
        <w:t xml:space="preserve"> during afternoon of 26/9/2018 PM and again today</w:t>
      </w:r>
      <w:r>
        <w:t xml:space="preserve"> at </w:t>
      </w:r>
      <w:proofErr w:type="gramStart"/>
      <w:r>
        <w:t>0800hrs</w:t>
      </w:r>
      <w:proofErr w:type="gramEnd"/>
    </w:p>
    <w:p w14:paraId="383BC9F5" w14:textId="77777777" w:rsidR="004F37D4" w:rsidRDefault="0034705C">
      <w:pPr>
        <w:numPr>
          <w:ilvl w:val="0"/>
          <w:numId w:val="2"/>
        </w:numPr>
        <w:spacing w:after="349"/>
        <w:ind w:right="165" w:hanging="259"/>
      </w:pPr>
      <w:r>
        <w:t xml:space="preserve">TG seal has the two outer walls constructed with a hatch and is sprayed but </w:t>
      </w:r>
      <w:proofErr w:type="gramStart"/>
      <w:r>
        <w:t>not</w:t>
      </w:r>
      <w:proofErr w:type="gramEnd"/>
    </w:p>
    <w:p w14:paraId="68BF9E4F" w14:textId="77777777" w:rsidR="004F37D4" w:rsidRDefault="0034705C">
      <w:pPr>
        <w:numPr>
          <w:ilvl w:val="0"/>
          <w:numId w:val="2"/>
        </w:numPr>
        <w:spacing w:after="67"/>
        <w:ind w:right="165" w:hanging="259"/>
      </w:pPr>
      <w:r>
        <w:t xml:space="preserve">The Mine currently have 2500m of TB line available and are sourcing </w:t>
      </w:r>
      <w:proofErr w:type="gramStart"/>
      <w:r>
        <w:t>more</w:t>
      </w:r>
      <w:proofErr w:type="gramEnd"/>
    </w:p>
    <w:p w14:paraId="1A292288" w14:textId="77777777" w:rsidR="004F37D4" w:rsidRDefault="0034705C">
      <w:pPr>
        <w:numPr>
          <w:ilvl w:val="0"/>
          <w:numId w:val="2"/>
        </w:numPr>
        <w:spacing w:after="254"/>
        <w:ind w:right="165" w:hanging="259"/>
      </w:pPr>
      <w:r>
        <w:t xml:space="preserve">Strategy is about bringing the event under control by placing plugs in strategic </w:t>
      </w:r>
      <w:proofErr w:type="gramStart"/>
      <w:r>
        <w:t>positions</w:t>
      </w:r>
      <w:proofErr w:type="gramEnd"/>
    </w:p>
    <w:p w14:paraId="371E691D" w14:textId="77777777" w:rsidR="004F37D4" w:rsidRDefault="0034705C">
      <w:pPr>
        <w:spacing w:after="231"/>
        <w:ind w:left="480" w:right="165" w:hanging="244"/>
      </w:pPr>
      <w:r>
        <w:rPr>
          <w:noProof/>
        </w:rPr>
        <w:drawing>
          <wp:inline distT="0" distB="0" distL="0" distR="0" wp14:anchorId="3A161226" wp14:editId="7BC31CD5">
            <wp:extent cx="74201" cy="67764"/>
            <wp:effectExtent l="0" t="0" r="0" b="0"/>
            <wp:docPr id="5138" name="Picture 5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8" name="Picture 51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01" cy="6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All people on surface are subject to a process for monitoring their position and readily available to be contacted. The 'old security hut' is the mustering point for emergency and accounting for people.</w:t>
      </w:r>
    </w:p>
    <w:p w14:paraId="24B34FBC" w14:textId="77777777" w:rsidR="004F37D4" w:rsidRDefault="0034705C">
      <w:pPr>
        <w:spacing w:line="259" w:lineRule="auto"/>
        <w:ind w:left="252" w:hanging="10"/>
        <w:jc w:val="both"/>
      </w:pPr>
      <w:r>
        <w:rPr>
          <w:noProof/>
        </w:rPr>
        <w:drawing>
          <wp:inline distT="0" distB="0" distL="0" distR="0" wp14:anchorId="07362034" wp14:editId="427E1214">
            <wp:extent cx="70975" cy="70991"/>
            <wp:effectExtent l="0" t="0" r="0" b="0"/>
            <wp:docPr id="5139" name="Picture 5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9" name="Picture 51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75" cy="7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Darren Brady raised that the increase in Graham's</w:t>
      </w:r>
      <w:r>
        <w:rPr>
          <w:sz w:val="28"/>
        </w:rPr>
        <w:t xml:space="preserve"> Ratio could be associated with</w:t>
      </w:r>
    </w:p>
    <w:p w14:paraId="0E069CBE" w14:textId="77777777" w:rsidR="004F37D4" w:rsidRDefault="0034705C">
      <w:pPr>
        <w:ind w:left="501" w:right="165"/>
      </w:pPr>
      <w:r>
        <w:t xml:space="preserve">Liquid Nitrogen injection stopping at 1600hrs 26/9/1 </w:t>
      </w:r>
      <w:proofErr w:type="gramStart"/>
      <w:r>
        <w:t>8</w:t>
      </w:r>
      <w:proofErr w:type="gramEnd"/>
    </w:p>
    <w:p w14:paraId="2EB7D667" w14:textId="77777777" w:rsidR="004F37D4" w:rsidRDefault="0034705C">
      <w:pPr>
        <w:spacing w:after="274"/>
        <w:ind w:left="338" w:right="165" w:hanging="254"/>
      </w:pPr>
      <w:r>
        <w:rPr>
          <w:noProof/>
        </w:rPr>
        <w:drawing>
          <wp:inline distT="0" distB="0" distL="0" distR="0" wp14:anchorId="79886307" wp14:editId="004BF49D">
            <wp:extent cx="74328" cy="67867"/>
            <wp:effectExtent l="0" t="0" r="0" b="0"/>
            <wp:docPr id="6221" name="Picture 6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1" name="Picture 62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328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TB26 vacuum pressure dropped from -70kpa to -50kpa the cause of which is under investigation.</w:t>
      </w:r>
      <w:r>
        <w:rPr>
          <w:noProof/>
        </w:rPr>
        <w:drawing>
          <wp:inline distT="0" distB="0" distL="0" distR="0" wp14:anchorId="7CF3E241" wp14:editId="333BD2CC">
            <wp:extent cx="12927" cy="9695"/>
            <wp:effectExtent l="0" t="0" r="0" b="0"/>
            <wp:docPr id="6222" name="Picture 6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" name="Picture 62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FBCB" w14:textId="77777777" w:rsidR="004F37D4" w:rsidRDefault="0034705C">
      <w:pPr>
        <w:numPr>
          <w:ilvl w:val="0"/>
          <w:numId w:val="2"/>
        </w:numPr>
        <w:spacing w:after="267"/>
        <w:ind w:right="165" w:hanging="259"/>
      </w:pPr>
      <w:r>
        <w:lastRenderedPageBreak/>
        <w:t>H2/CO Ratio was influenced by changing Gas Chromatograph in use from NGC to SIMTARS unit.</w:t>
      </w:r>
    </w:p>
    <w:p w14:paraId="36D07470" w14:textId="77777777" w:rsidR="004F37D4" w:rsidRDefault="0034705C">
      <w:pPr>
        <w:numPr>
          <w:ilvl w:val="0"/>
          <w:numId w:val="2"/>
        </w:numPr>
        <w:spacing w:after="482"/>
        <w:ind w:right="165" w:hanging="259"/>
      </w:pPr>
      <w:r>
        <w:t>BOC N2 (4001/s) unit is anticipated to arrive Saturday 30/9/18 with th</w:t>
      </w:r>
      <w:r>
        <w:t>e plan to place on hole GN2695.</w:t>
      </w:r>
    </w:p>
    <w:p w14:paraId="760FB06B" w14:textId="77777777" w:rsidR="004F37D4" w:rsidRDefault="0034705C">
      <w:pPr>
        <w:ind w:left="5" w:right="165"/>
      </w:pPr>
      <w:r>
        <w:t>The Inspectors were informed post meeting that the Mine intended to turn off power</w:t>
      </w:r>
      <w:r>
        <w:rPr>
          <w:noProof/>
        </w:rPr>
        <w:drawing>
          <wp:inline distT="0" distB="0" distL="0" distR="0" wp14:anchorId="1912B5A7" wp14:editId="7DCF7D77">
            <wp:extent cx="3232" cy="3232"/>
            <wp:effectExtent l="0" t="0" r="0" b="0"/>
            <wp:docPr id="6225" name="Picture 6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5" name="Picture 62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00DD" w14:textId="77777777" w:rsidR="004F37D4" w:rsidRDefault="004F37D4">
      <w:pPr>
        <w:sectPr w:rsidR="004F37D4">
          <w:footerReference w:type="even" r:id="rId13"/>
          <w:footerReference w:type="default" r:id="rId14"/>
          <w:footerReference w:type="first" r:id="rId15"/>
          <w:pgSz w:w="11909" w:h="16841"/>
          <w:pgMar w:top="1814" w:right="1255" w:bottom="1610" w:left="1369" w:header="720" w:footer="595" w:gutter="0"/>
          <w:cols w:space="720"/>
        </w:sectPr>
      </w:pPr>
    </w:p>
    <w:p w14:paraId="5C5E1233" w14:textId="77777777" w:rsidR="004F37D4" w:rsidRDefault="0034705C">
      <w:pPr>
        <w:spacing w:after="1392"/>
        <w:ind w:left="89" w:right="165"/>
      </w:pPr>
      <w:r>
        <w:t>underground.</w:t>
      </w:r>
    </w:p>
    <w:p w14:paraId="1FED084B" w14:textId="77777777" w:rsidR="004F37D4" w:rsidRDefault="0034705C">
      <w:pPr>
        <w:tabs>
          <w:tab w:val="center" w:pos="3911"/>
          <w:tab w:val="center" w:pos="7043"/>
        </w:tabs>
        <w:ind w:left="0" w:firstLine="0"/>
      </w:pPr>
      <w:r>
        <w:t xml:space="preserve">Richard </w:t>
      </w:r>
      <w:r>
        <w:rPr>
          <w:noProof/>
        </w:rPr>
        <w:drawing>
          <wp:inline distT="0" distB="0" distL="0" distR="0" wp14:anchorId="1C0D281B" wp14:editId="3FC8609C">
            <wp:extent cx="2149055" cy="879040"/>
            <wp:effectExtent l="0" t="0" r="0" b="0"/>
            <wp:docPr id="11883" name="Picture 1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" name="Picture 118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9055" cy="8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Gouldstone</w:t>
      </w:r>
      <w:r>
        <w:tab/>
      </w:r>
      <w:proofErr w:type="spellStart"/>
      <w:r>
        <w:t>eoff</w:t>
      </w:r>
      <w:proofErr w:type="spellEnd"/>
      <w:r>
        <w:t xml:space="preserve"> Nugent</w:t>
      </w:r>
      <w:r>
        <w:tab/>
        <w:t>Shaun Dobso</w:t>
      </w:r>
      <w:r>
        <w:t>n</w:t>
      </w:r>
      <w:r>
        <w:rPr>
          <w:noProof/>
        </w:rPr>
        <w:drawing>
          <wp:inline distT="0" distB="0" distL="0" distR="0" wp14:anchorId="052F217C" wp14:editId="7C24393B">
            <wp:extent cx="3232" cy="3232"/>
            <wp:effectExtent l="0" t="0" r="0" b="0"/>
            <wp:docPr id="6226" name="Picture 6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" name="Picture 6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3EFF3" w14:textId="77777777" w:rsidR="004F37D4" w:rsidRDefault="0034705C">
      <w:pPr>
        <w:tabs>
          <w:tab w:val="center" w:pos="4062"/>
          <w:tab w:val="right" w:pos="8021"/>
        </w:tabs>
        <w:spacing w:after="728"/>
        <w:ind w:left="-10" w:firstLine="0"/>
      </w:pPr>
      <w:r>
        <w:rPr>
          <w:sz w:val="24"/>
        </w:rPr>
        <w:t>Inspector of Mines</w:t>
      </w:r>
      <w:r>
        <w:rPr>
          <w:sz w:val="24"/>
        </w:rPr>
        <w:tab/>
        <w:t>Inspector of Mines</w:t>
      </w:r>
      <w:r>
        <w:rPr>
          <w:noProof/>
        </w:rPr>
        <w:drawing>
          <wp:inline distT="0" distB="0" distL="0" distR="0" wp14:anchorId="14B48C90" wp14:editId="6D813B2A">
            <wp:extent cx="3232" cy="6464"/>
            <wp:effectExtent l="0" t="0" r="0" b="0"/>
            <wp:docPr id="6227" name="Picture 6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7" name="Picture 62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Inspector of Mines</w:t>
      </w:r>
    </w:p>
    <w:p w14:paraId="0BF91ACB" w14:textId="77777777" w:rsidR="004F37D4" w:rsidRDefault="0034705C">
      <w:pPr>
        <w:ind w:left="5" w:right="165"/>
      </w:pPr>
      <w:r>
        <w:t>Stephen Smith</w:t>
      </w:r>
    </w:p>
    <w:p w14:paraId="6E85853B" w14:textId="77777777" w:rsidR="004F37D4" w:rsidRDefault="0034705C">
      <w:pPr>
        <w:spacing w:after="728"/>
        <w:ind w:left="0" w:hanging="10"/>
      </w:pPr>
      <w:r>
        <w:rPr>
          <w:sz w:val="24"/>
        </w:rPr>
        <w:t>Inspector of Mines</w:t>
      </w:r>
    </w:p>
    <w:sectPr w:rsidR="004F37D4">
      <w:type w:val="continuous"/>
      <w:pgSz w:w="11909" w:h="16841"/>
      <w:pgMar w:top="2493" w:right="2555" w:bottom="6341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3969E" w14:textId="77777777" w:rsidR="0034705C" w:rsidRDefault="0034705C">
      <w:pPr>
        <w:spacing w:after="0" w:line="240" w:lineRule="auto"/>
      </w:pPr>
      <w:r>
        <w:separator/>
      </w:r>
    </w:p>
  </w:endnote>
  <w:endnote w:type="continuationSeparator" w:id="0">
    <w:p w14:paraId="08D23097" w14:textId="77777777" w:rsidR="0034705C" w:rsidRDefault="003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B685" w14:textId="77777777" w:rsidR="004F37D4" w:rsidRDefault="0034705C">
    <w:pPr>
      <w:tabs>
        <w:tab w:val="center" w:pos="4596"/>
        <w:tab w:val="right" w:pos="9285"/>
      </w:tabs>
      <w:spacing w:after="0" w:line="259" w:lineRule="auto"/>
      <w:ind w:left="0" w:firstLine="0"/>
    </w:pPr>
    <w:r>
      <w:rPr>
        <w:sz w:val="16"/>
      </w:rPr>
      <w:t>02110/2018</w:t>
    </w:r>
    <w:r>
      <w:rPr>
        <w:sz w:val="16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8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2BCA3" w14:textId="77777777" w:rsidR="004F37D4" w:rsidRDefault="0034705C">
    <w:pPr>
      <w:tabs>
        <w:tab w:val="center" w:pos="4596"/>
        <w:tab w:val="right" w:pos="9285"/>
      </w:tabs>
      <w:spacing w:after="0" w:line="259" w:lineRule="auto"/>
      <w:ind w:left="0" w:firstLine="0"/>
    </w:pPr>
    <w:r>
      <w:rPr>
        <w:sz w:val="16"/>
      </w:rPr>
      <w:t>02110/2018</w:t>
    </w:r>
    <w:r>
      <w:rPr>
        <w:sz w:val="16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8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B10D" w14:textId="77777777" w:rsidR="004F37D4" w:rsidRDefault="0034705C">
    <w:pPr>
      <w:tabs>
        <w:tab w:val="center" w:pos="4596"/>
        <w:tab w:val="right" w:pos="9285"/>
      </w:tabs>
      <w:spacing w:after="0" w:line="259" w:lineRule="auto"/>
      <w:ind w:left="0" w:firstLine="0"/>
    </w:pPr>
    <w:r>
      <w:rPr>
        <w:sz w:val="16"/>
      </w:rPr>
      <w:t>02110/2018</w:t>
    </w:r>
    <w:r>
      <w:rPr>
        <w:sz w:val="16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2"/>
      </w:rPr>
      <w:t>1</w:t>
    </w:r>
    <w:r>
      <w:rPr>
        <w:sz w:val="12"/>
      </w:rPr>
      <w:fldChar w:fldCharType="end"/>
    </w:r>
    <w:r>
      <w:rPr>
        <w:sz w:val="12"/>
      </w:rPr>
      <w:t xml:space="preserve"> </w:t>
    </w:r>
    <w:r>
      <w:rPr>
        <w:sz w:val="18"/>
      </w:rPr>
      <w:t xml:space="preserve">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3EF17" w14:textId="77777777" w:rsidR="0034705C" w:rsidRDefault="0034705C">
      <w:pPr>
        <w:spacing w:after="0" w:line="240" w:lineRule="auto"/>
      </w:pPr>
      <w:r>
        <w:separator/>
      </w:r>
    </w:p>
  </w:footnote>
  <w:footnote w:type="continuationSeparator" w:id="0">
    <w:p w14:paraId="519C74D5" w14:textId="77777777" w:rsidR="0034705C" w:rsidRDefault="00347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85" style="width:8.5pt;height:7.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33614B03"/>
    <w:multiLevelType w:val="hybridMultilevel"/>
    <w:tmpl w:val="01EC1528"/>
    <w:lvl w:ilvl="0" w:tplc="F1C6E80C">
      <w:start w:val="1"/>
      <w:numFmt w:val="bullet"/>
      <w:lvlText w:val="•"/>
      <w:lvlPicBulletId w:val="0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A407A">
      <w:start w:val="1"/>
      <w:numFmt w:val="bullet"/>
      <w:lvlText w:val="o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CAABE">
      <w:start w:val="1"/>
      <w:numFmt w:val="bullet"/>
      <w:lvlText w:val="▪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4B9A2">
      <w:start w:val="1"/>
      <w:numFmt w:val="bullet"/>
      <w:lvlText w:val="•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E9C4E">
      <w:start w:val="1"/>
      <w:numFmt w:val="bullet"/>
      <w:lvlText w:val="o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468A62">
      <w:start w:val="1"/>
      <w:numFmt w:val="bullet"/>
      <w:lvlText w:val="▪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A019A">
      <w:start w:val="1"/>
      <w:numFmt w:val="bullet"/>
      <w:lvlText w:val="•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81374">
      <w:start w:val="1"/>
      <w:numFmt w:val="bullet"/>
      <w:lvlText w:val="o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0ADD4">
      <w:start w:val="1"/>
      <w:numFmt w:val="bullet"/>
      <w:lvlText w:val="▪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7213E8"/>
    <w:multiLevelType w:val="hybridMultilevel"/>
    <w:tmpl w:val="BFA6D71A"/>
    <w:lvl w:ilvl="0" w:tplc="B5DC6304">
      <w:start w:val="5"/>
      <w:numFmt w:val="lowerRoman"/>
      <w:lvlText w:val="%1)"/>
      <w:lvlJc w:val="left"/>
      <w:pPr>
        <w:ind w:left="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38CEFE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ECE9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30C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02DA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4FC4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E6EBC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479B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2F55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D4"/>
    <w:rsid w:val="001164F0"/>
    <w:rsid w:val="0034705C"/>
    <w:rsid w:val="004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219C"/>
  <w15:docId w15:val="{87CED2BE-11A3-4AC9-89F5-427917C3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84" w:hanging="5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1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2021-02-02T23:02:00Z</dcterms:created>
  <dcterms:modified xsi:type="dcterms:W3CDTF">2021-02-02T23:02:00Z</dcterms:modified>
</cp:coreProperties>
</file>