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603E6" w14:textId="77777777" w:rsidR="00667036" w:rsidRDefault="00744767">
      <w:pPr>
        <w:spacing w:line="259" w:lineRule="auto"/>
        <w:ind w:left="2585" w:right="0" w:firstLine="0"/>
        <w:jc w:val="center"/>
      </w:pPr>
      <w:r>
        <w:rPr>
          <w:sz w:val="18"/>
        </w:rPr>
        <w:t>Mackay Office</w:t>
      </w:r>
    </w:p>
    <w:p w14:paraId="6B00617F" w14:textId="77777777" w:rsidR="00667036" w:rsidRDefault="00744767">
      <w:pPr>
        <w:spacing w:after="3" w:line="259" w:lineRule="auto"/>
        <w:ind w:left="10" w:right="336" w:hanging="10"/>
        <w:jc w:val="right"/>
      </w:pPr>
      <w:r>
        <w:rPr>
          <w:sz w:val="18"/>
        </w:rPr>
        <w:t>P.O. Box 1801, Mackay QLD 4740</w:t>
      </w:r>
    </w:p>
    <w:p w14:paraId="08A94844" w14:textId="77777777" w:rsidR="00667036" w:rsidRDefault="00744767">
      <w:pPr>
        <w:tabs>
          <w:tab w:val="right" w:pos="7603"/>
        </w:tabs>
        <w:spacing w:line="259" w:lineRule="auto"/>
        <w:ind w:left="-31" w:right="0" w:firstLine="0"/>
        <w:jc w:val="left"/>
      </w:pPr>
      <w:r>
        <w:rPr>
          <w:noProof/>
        </w:rPr>
        <w:drawing>
          <wp:inline distT="0" distB="0" distL="0" distR="0" wp14:anchorId="48D05CCE" wp14:editId="7C85342F">
            <wp:extent cx="6463" cy="6463"/>
            <wp:effectExtent l="0" t="0" r="0" b="0"/>
            <wp:docPr id="1852" name="Picture 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" name="Picture 18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Queensland Government</w:t>
      </w:r>
      <w:r>
        <w:rPr>
          <w:sz w:val="18"/>
        </w:rPr>
        <w:tab/>
        <w:t>Phone: 07 4999 8512t Fax: 07 4999 8519</w:t>
      </w:r>
    </w:p>
    <w:p w14:paraId="61460762" w14:textId="77777777" w:rsidR="00667036" w:rsidRDefault="00667036">
      <w:pPr>
        <w:sectPr w:rsidR="00667036">
          <w:footerReference w:type="even" r:id="rId8"/>
          <w:footerReference w:type="default" r:id="rId9"/>
          <w:footerReference w:type="first" r:id="rId10"/>
          <w:pgSz w:w="11909" w:h="16841"/>
          <w:pgMar w:top="1867" w:right="2031" w:bottom="461" w:left="2275" w:header="720" w:footer="524" w:gutter="0"/>
          <w:cols w:space="720"/>
        </w:sectPr>
      </w:pPr>
    </w:p>
    <w:tbl>
      <w:tblPr>
        <w:tblStyle w:val="TableGrid"/>
        <w:tblW w:w="9191" w:type="dxa"/>
        <w:tblInd w:w="102" w:type="dxa"/>
        <w:tblCellMar>
          <w:top w:w="46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846"/>
        <w:gridCol w:w="3364"/>
        <w:gridCol w:w="1842"/>
        <w:gridCol w:w="1139"/>
      </w:tblGrid>
      <w:tr w:rsidR="00667036" w14:paraId="37DA4994" w14:textId="77777777">
        <w:trPr>
          <w:trHeight w:val="274"/>
        </w:trPr>
        <w:tc>
          <w:tcPr>
            <w:tcW w:w="2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961AA9" w14:textId="77777777" w:rsidR="00667036" w:rsidRDefault="00744767">
            <w:pPr>
              <w:spacing w:line="259" w:lineRule="auto"/>
              <w:ind w:left="20" w:right="0" w:firstLine="0"/>
              <w:jc w:val="left"/>
            </w:pPr>
            <w:r>
              <w:rPr>
                <w:sz w:val="22"/>
              </w:rPr>
              <w:t>Mine Name</w:t>
            </w:r>
          </w:p>
        </w:tc>
        <w:tc>
          <w:tcPr>
            <w:tcW w:w="3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8999FD" w14:textId="77777777" w:rsidR="00667036" w:rsidRDefault="00744767">
            <w:pPr>
              <w:tabs>
                <w:tab w:val="center" w:pos="1774"/>
              </w:tabs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>Mine ID</w:t>
            </w:r>
            <w:r>
              <w:rPr>
                <w:sz w:val="24"/>
              </w:rPr>
              <w:tab/>
              <w:t>Operator</w:t>
            </w:r>
          </w:p>
        </w:tc>
        <w:tc>
          <w:tcPr>
            <w:tcW w:w="1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E55B85" w14:textId="77777777" w:rsidR="00667036" w:rsidRDefault="00744767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>Activity Type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F4EAA2" w14:textId="77777777" w:rsidR="00667036" w:rsidRDefault="00744767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>Activity Date</w:t>
            </w:r>
          </w:p>
        </w:tc>
      </w:tr>
      <w:tr w:rsidR="00667036" w14:paraId="1DA9620D" w14:textId="77777777">
        <w:trPr>
          <w:trHeight w:val="499"/>
        </w:trPr>
        <w:tc>
          <w:tcPr>
            <w:tcW w:w="2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458F00" w14:textId="77777777" w:rsidR="00667036" w:rsidRDefault="00744767">
            <w:pPr>
              <w:spacing w:line="259" w:lineRule="auto"/>
              <w:ind w:left="20" w:right="0" w:firstLine="0"/>
              <w:jc w:val="left"/>
            </w:pPr>
            <w:r>
              <w:rPr>
                <w:sz w:val="22"/>
              </w:rPr>
              <w:t>North Goonyella</w:t>
            </w:r>
          </w:p>
        </w:tc>
        <w:tc>
          <w:tcPr>
            <w:tcW w:w="3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8BE3D8" w14:textId="77777777" w:rsidR="00667036" w:rsidRDefault="00744767">
            <w:pPr>
              <w:spacing w:line="259" w:lineRule="auto"/>
              <w:ind w:left="1669" w:right="336" w:hanging="1669"/>
              <w:jc w:val="left"/>
            </w:pPr>
            <w:r>
              <w:rPr>
                <w:sz w:val="22"/>
              </w:rPr>
              <w:t>MIDI 157 Peabody (Bowen) Pty Ltd</w:t>
            </w:r>
          </w:p>
        </w:tc>
        <w:tc>
          <w:tcPr>
            <w:tcW w:w="1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B09E13" w14:textId="77777777" w:rsidR="00667036" w:rsidRDefault="00744767">
            <w:pPr>
              <w:spacing w:line="259" w:lineRule="auto"/>
              <w:ind w:left="71" w:right="0" w:firstLine="0"/>
              <w:jc w:val="left"/>
            </w:pPr>
            <w:r>
              <w:rPr>
                <w:sz w:val="22"/>
              </w:rPr>
              <w:t>Site Meeting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AD191E" w14:textId="77777777" w:rsidR="00667036" w:rsidRDefault="00744767">
            <w:pPr>
              <w:spacing w:line="259" w:lineRule="auto"/>
              <w:ind w:left="41" w:right="0" w:firstLine="0"/>
            </w:pPr>
            <w:r>
              <w:rPr>
                <w:sz w:val="22"/>
              </w:rPr>
              <w:t>23/09/2018</w:t>
            </w:r>
          </w:p>
        </w:tc>
      </w:tr>
    </w:tbl>
    <w:p w14:paraId="06235183" w14:textId="77777777" w:rsidR="00667036" w:rsidRDefault="00744767">
      <w:pPr>
        <w:spacing w:after="101" w:line="259" w:lineRule="auto"/>
        <w:ind w:left="81" w:right="-13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D2FD7C0" wp14:editId="4F74B126">
                <wp:extent cx="5943026" cy="16159"/>
                <wp:effectExtent l="0" t="0" r="0" b="0"/>
                <wp:docPr id="12207" name="Group 1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026" cy="16159"/>
                          <a:chOff x="0" y="0"/>
                          <a:chExt cx="5943026" cy="16159"/>
                        </a:xfrm>
                      </wpg:grpSpPr>
                      <wps:wsp>
                        <wps:cNvPr id="12206" name="Shape 12206"/>
                        <wps:cNvSpPr/>
                        <wps:spPr>
                          <a:xfrm>
                            <a:off x="0" y="0"/>
                            <a:ext cx="5943026" cy="16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026" h="16159">
                                <a:moveTo>
                                  <a:pt x="0" y="8079"/>
                                </a:moveTo>
                                <a:lnTo>
                                  <a:pt x="5943026" y="8079"/>
                                </a:lnTo>
                              </a:path>
                            </a:pathLst>
                          </a:custGeom>
                          <a:ln w="161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07" style="width:467.955pt;height:1.27234pt;mso-position-horizontal-relative:char;mso-position-vertical-relative:line" coordsize="59430,161">
                <v:shape id="Shape 12206" style="position:absolute;width:59430;height:161;left:0;top:0;" coordsize="5943026,16159" path="m0,8079l5943026,8079">
                  <v:stroke weight="1.2723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3FAB854" w14:textId="77777777" w:rsidR="00667036" w:rsidRDefault="00744767">
      <w:pPr>
        <w:spacing w:after="337" w:line="259" w:lineRule="auto"/>
        <w:ind w:left="193" w:right="0" w:firstLine="0"/>
        <w:jc w:val="center"/>
      </w:pPr>
      <w:r>
        <w:rPr>
          <w:sz w:val="20"/>
        </w:rPr>
        <w:t>Vision: Our Industries Free of Safety and Health Incidents</w:t>
      </w:r>
    </w:p>
    <w:p w14:paraId="147E28AA" w14:textId="77777777" w:rsidR="00667036" w:rsidRDefault="00744767">
      <w:pPr>
        <w:pStyle w:val="Heading1"/>
      </w:pPr>
      <w:r>
        <w:t>Mine Record Entry</w:t>
      </w:r>
    </w:p>
    <w:p w14:paraId="46EAB36F" w14:textId="77777777" w:rsidR="00667036" w:rsidRDefault="00744767">
      <w:pPr>
        <w:spacing w:after="47" w:line="216" w:lineRule="auto"/>
        <w:ind w:left="10" w:right="-163" w:hanging="10"/>
        <w:jc w:val="center"/>
      </w:pPr>
      <w:r>
        <w:t>This report forms part of the Mine Record under s68 of the Coal Mining Safety and</w:t>
      </w:r>
    </w:p>
    <w:p w14:paraId="34F29393" w14:textId="77777777" w:rsidR="00667036" w:rsidRDefault="00744767">
      <w:pPr>
        <w:spacing w:after="118" w:line="216" w:lineRule="auto"/>
        <w:ind w:left="10" w:right="0" w:hanging="10"/>
        <w:jc w:val="center"/>
      </w:pPr>
      <w:r>
        <w:t xml:space="preserve">Health Act 1999. It must be placed in the Mine Record and displayed on Safety Notice </w:t>
      </w:r>
      <w:r>
        <w:rPr>
          <w:noProof/>
        </w:rPr>
        <w:drawing>
          <wp:inline distT="0" distB="0" distL="0" distR="0" wp14:anchorId="4ABCD4D2" wp14:editId="493D6A35">
            <wp:extent cx="3231" cy="12927"/>
            <wp:effectExtent l="0" t="0" r="0" b="0"/>
            <wp:docPr id="1853" name="Picture 1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" name="Picture 18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Boards.</w:t>
      </w:r>
    </w:p>
    <w:p w14:paraId="5914379B" w14:textId="77777777" w:rsidR="00667036" w:rsidRDefault="00744767">
      <w:pPr>
        <w:spacing w:after="549" w:line="216" w:lineRule="auto"/>
        <w:ind w:left="142" w:right="0" w:firstLine="102"/>
      </w:pPr>
      <w:r>
        <w:rPr>
          <w:sz w:val="28"/>
        </w:rPr>
        <w:t>Not</w:t>
      </w:r>
      <w:r>
        <w:rPr>
          <w:sz w:val="28"/>
        </w:rPr>
        <w:t xml:space="preserve">e that inspection or audit activities conducted by the Mines Inspectorate are based </w:t>
      </w:r>
      <w:r>
        <w:rPr>
          <w:sz w:val="28"/>
        </w:rPr>
        <w:t xml:space="preserve">upon sample techniques. It remains the primary responsibility of Mine Personnel to </w:t>
      </w:r>
      <w:r>
        <w:rPr>
          <w:sz w:val="28"/>
        </w:rPr>
        <w:t>identify hazards, and risks associated with Operations and ensure those risks are at an acceptable level.</w:t>
      </w:r>
      <w:r>
        <w:rPr>
          <w:noProof/>
        </w:rPr>
        <w:drawing>
          <wp:inline distT="0" distB="0" distL="0" distR="0" wp14:anchorId="54205F00" wp14:editId="78E9647B">
            <wp:extent cx="3232" cy="3232"/>
            <wp:effectExtent l="0" t="0" r="0" b="0"/>
            <wp:docPr id="1854" name="Picture 1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" name="Picture 18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620E7" w14:textId="77777777" w:rsidR="00667036" w:rsidRDefault="00744767">
      <w:pPr>
        <w:spacing w:after="173" w:line="261" w:lineRule="auto"/>
        <w:ind w:firstLine="15"/>
        <w:jc w:val="left"/>
      </w:pPr>
      <w:r>
        <w:t xml:space="preserve">Inspector Richard Gouldstone arrived at NGC Mine at 07:15am on Sunday 23 September 2018 to attend a meeting </w:t>
      </w:r>
      <w:proofErr w:type="gramStart"/>
      <w:r>
        <w:t>in regard to</w:t>
      </w:r>
      <w:proofErr w:type="gramEnd"/>
      <w:r>
        <w:t xml:space="preserve"> progress on dealing with the </w:t>
      </w:r>
      <w:r>
        <w:rPr>
          <w:noProof/>
        </w:rPr>
        <w:drawing>
          <wp:inline distT="0" distB="0" distL="0" distR="0" wp14:anchorId="2CC0A896" wp14:editId="76105D87">
            <wp:extent cx="3231" cy="6464"/>
            <wp:effectExtent l="0" t="0" r="0" b="0"/>
            <wp:docPr id="1855" name="Picture 1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" name="Picture 18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spontaneous combustion event currently in progress. Meeting at 8:30am Sunday 23 September 2018</w:t>
      </w:r>
    </w:p>
    <w:p w14:paraId="3B4937D4" w14:textId="77777777" w:rsidR="00667036" w:rsidRDefault="00744767">
      <w:pPr>
        <w:ind w:left="92" w:right="194"/>
      </w:pPr>
      <w:r>
        <w:t xml:space="preserve">Attendees </w:t>
      </w:r>
      <w:r>
        <w:t>-</w:t>
      </w:r>
      <w:r>
        <w:rPr>
          <w:noProof/>
        </w:rPr>
        <w:drawing>
          <wp:inline distT="0" distB="0" distL="0" distR="0" wp14:anchorId="6CE0F87B" wp14:editId="0DA96B04">
            <wp:extent cx="6464" cy="22622"/>
            <wp:effectExtent l="0" t="0" r="0" b="0"/>
            <wp:docPr id="12204" name="Picture 12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4" name="Picture 122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F87E0" w14:textId="77777777" w:rsidR="00667036" w:rsidRDefault="00744767">
      <w:pPr>
        <w:ind w:left="117" w:right="194"/>
      </w:pPr>
      <w:r>
        <w:t>Peter Purdie (in attendance in the absence of SSHRs)</w:t>
      </w:r>
    </w:p>
    <w:p w14:paraId="3A3C5745" w14:textId="77777777" w:rsidR="00667036" w:rsidRDefault="00744767">
      <w:pPr>
        <w:ind w:left="117" w:right="194"/>
      </w:pPr>
      <w:r>
        <w:t>Richard Gouldstone (Inspector of Mines)</w:t>
      </w:r>
    </w:p>
    <w:p w14:paraId="37ECC311" w14:textId="77777777" w:rsidR="00667036" w:rsidRDefault="00744767">
      <w:pPr>
        <w:ind w:left="107" w:right="194"/>
      </w:pPr>
      <w:r>
        <w:t>Jeff Perks (Superintendent Health Safety &amp;Training)</w:t>
      </w:r>
    </w:p>
    <w:p w14:paraId="11043B38" w14:textId="77777777" w:rsidR="00667036" w:rsidRDefault="00744767">
      <w:pPr>
        <w:ind w:left="117" w:right="0" w:hanging="10"/>
        <w:jc w:val="left"/>
      </w:pPr>
      <w:r>
        <w:rPr>
          <w:sz w:val="28"/>
        </w:rPr>
        <w:t>John Anger (SSE)</w:t>
      </w:r>
    </w:p>
    <w:p w14:paraId="6A60973A" w14:textId="77777777" w:rsidR="00667036" w:rsidRDefault="00744767">
      <w:pPr>
        <w:ind w:left="117" w:right="4311" w:hanging="10"/>
        <w:jc w:val="left"/>
      </w:pPr>
      <w:r>
        <w:rPr>
          <w:sz w:val="28"/>
        </w:rPr>
        <w:t>Steven Stook (Tech Services Manager) Dennis Black (VO)</w:t>
      </w:r>
    </w:p>
    <w:p w14:paraId="16967BA4" w14:textId="77777777" w:rsidR="00667036" w:rsidRDefault="00744767">
      <w:pPr>
        <w:ind w:left="107" w:right="194"/>
      </w:pPr>
      <w:r>
        <w:t>John Martin (Development Coordinator</w:t>
      </w:r>
      <w:r>
        <w:t>)</w:t>
      </w:r>
    </w:p>
    <w:p w14:paraId="261207D0" w14:textId="77777777" w:rsidR="00667036" w:rsidRDefault="00744767">
      <w:pPr>
        <w:spacing w:after="162"/>
        <w:ind w:left="122" w:right="194"/>
      </w:pPr>
      <w:r>
        <w:t>Lee Earnshaw (Development Coordinator)</w:t>
      </w:r>
    </w:p>
    <w:p w14:paraId="1CC28A1C" w14:textId="77777777" w:rsidR="00667036" w:rsidRDefault="00744767">
      <w:pPr>
        <w:ind w:right="194"/>
      </w:pPr>
      <w:r>
        <w:rPr>
          <w:noProof/>
        </w:rPr>
        <w:drawing>
          <wp:inline distT="0" distB="0" distL="0" distR="0" wp14:anchorId="377B3452" wp14:editId="0C930CA7">
            <wp:extent cx="3232" cy="6463"/>
            <wp:effectExtent l="0" t="0" r="0" b="0"/>
            <wp:docPr id="1858" name="Picture 1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" name="Picture 185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By dial in Sean Dobson (Deputy Chief Inspector) for briefing session but not the extended meeting including the other call — ins, which were as follows -</w:t>
      </w:r>
    </w:p>
    <w:p w14:paraId="6E391BF3" w14:textId="77777777" w:rsidR="00667036" w:rsidRDefault="00744767">
      <w:pPr>
        <w:ind w:left="127" w:right="0" w:hanging="10"/>
        <w:jc w:val="left"/>
      </w:pPr>
      <w:r>
        <w:rPr>
          <w:sz w:val="28"/>
        </w:rPr>
        <w:t>Michael Brady (Consultant) Darren Brady (Consultant), Nevill</w:t>
      </w:r>
      <w:r>
        <w:rPr>
          <w:sz w:val="28"/>
        </w:rPr>
        <w:t xml:space="preserve">e </w:t>
      </w:r>
      <w:proofErr w:type="spellStart"/>
      <w:r>
        <w:rPr>
          <w:sz w:val="28"/>
        </w:rPr>
        <w:t>Impson</w:t>
      </w:r>
      <w:proofErr w:type="spellEnd"/>
      <w:r>
        <w:rPr>
          <w:sz w:val="28"/>
        </w:rPr>
        <w:t xml:space="preserve"> (Compliance</w:t>
      </w:r>
    </w:p>
    <w:p w14:paraId="1FF239EE" w14:textId="77777777" w:rsidR="00667036" w:rsidRDefault="00744767">
      <w:pPr>
        <w:ind w:left="117" w:right="0"/>
      </w:pPr>
      <w:r>
        <w:t>Manager), Marek Romanski (UMM), Martin Watkinson (SIMTARS), Mike Carter (SSE</w:t>
      </w:r>
      <w:r>
        <w:rPr>
          <w:noProof/>
        </w:rPr>
        <w:drawing>
          <wp:inline distT="0" distB="0" distL="0" distR="0" wp14:anchorId="00591480" wp14:editId="74741DF5">
            <wp:extent cx="6463" cy="3232"/>
            <wp:effectExtent l="0" t="0" r="0" b="0"/>
            <wp:docPr id="1859" name="Picture 1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" name="Picture 185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534A8" w14:textId="77777777" w:rsidR="00667036" w:rsidRDefault="00744767">
      <w:pPr>
        <w:ind w:left="117" w:right="194"/>
      </w:pPr>
      <w:r>
        <w:t>Millennium)</w:t>
      </w:r>
    </w:p>
    <w:p w14:paraId="1EE1D8AA" w14:textId="77777777" w:rsidR="00667036" w:rsidRDefault="00744767">
      <w:pPr>
        <w:spacing w:after="176"/>
        <w:ind w:left="117" w:right="6560"/>
      </w:pPr>
      <w:r>
        <w:lastRenderedPageBreak/>
        <w:t xml:space="preserve">Mr Anger </w:t>
      </w:r>
      <w:proofErr w:type="spellStart"/>
      <w:r>
        <w:t>explainedLast</w:t>
      </w:r>
      <w:proofErr w:type="spellEnd"/>
      <w:r>
        <w:t xml:space="preserve"> 24</w:t>
      </w:r>
    </w:p>
    <w:p w14:paraId="5941BE1C" w14:textId="77777777" w:rsidR="00667036" w:rsidRDefault="00744767">
      <w:pPr>
        <w:ind w:left="117" w:right="194"/>
      </w:pPr>
      <w:r>
        <w:t>Drilling GN2700 - depth at EOS NS at 170m</w:t>
      </w:r>
    </w:p>
    <w:p w14:paraId="4A271588" w14:textId="77777777" w:rsidR="00667036" w:rsidRDefault="00744767">
      <w:pPr>
        <w:spacing w:after="775"/>
        <w:ind w:left="122" w:right="194"/>
      </w:pPr>
      <w:r>
        <w:t>Drilling GN2698 completed well at 22:30 and relocate to GN2696 re-</w:t>
      </w:r>
      <w:proofErr w:type="gramStart"/>
      <w:r>
        <w:t>drill</w:t>
      </w:r>
      <w:proofErr w:type="gramEnd"/>
    </w:p>
    <w:p w14:paraId="5871E8AF" w14:textId="77777777" w:rsidR="00667036" w:rsidRDefault="00744767">
      <w:pPr>
        <w:spacing w:line="259" w:lineRule="auto"/>
        <w:ind w:left="0" w:right="565" w:firstLine="0"/>
        <w:jc w:val="right"/>
      </w:pPr>
      <w:r>
        <w:rPr>
          <w:sz w:val="16"/>
        </w:rPr>
        <w:t xml:space="preserve">1 </w:t>
      </w:r>
    </w:p>
    <w:p w14:paraId="24F85918" w14:textId="77777777" w:rsidR="00667036" w:rsidRDefault="00744767">
      <w:pPr>
        <w:ind w:left="15" w:right="0" w:hanging="10"/>
        <w:jc w:val="left"/>
      </w:pPr>
      <w:r>
        <w:rPr>
          <w:sz w:val="28"/>
        </w:rPr>
        <w:t xml:space="preserve">Set up over GN2696 and recover inside casing -- 282m of casing pulled out by </w:t>
      </w:r>
      <w:proofErr w:type="gramStart"/>
      <w:r>
        <w:rPr>
          <w:sz w:val="28"/>
        </w:rPr>
        <w:t>EOS</w:t>
      </w:r>
      <w:proofErr w:type="gramEnd"/>
    </w:p>
    <w:p w14:paraId="667EA730" w14:textId="77777777" w:rsidR="00667036" w:rsidRDefault="00744767">
      <w:pPr>
        <w:pStyle w:val="Heading2"/>
        <w:ind w:left="31"/>
      </w:pPr>
      <w:r>
        <w:t>NS</w:t>
      </w:r>
      <w:r>
        <w:rPr>
          <w:noProof/>
        </w:rPr>
        <w:drawing>
          <wp:inline distT="0" distB="0" distL="0" distR="0" wp14:anchorId="25AE2755" wp14:editId="2527BC53">
            <wp:extent cx="6463" cy="6463"/>
            <wp:effectExtent l="0" t="0" r="0" b="0"/>
            <wp:docPr id="4290" name="Picture 4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0" name="Picture 42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0C27E" w14:textId="77777777" w:rsidR="00667036" w:rsidRDefault="00744767">
      <w:pPr>
        <w:ind w:left="16" w:right="194"/>
      </w:pPr>
      <w:r>
        <w:t xml:space="preserve">Drilling GN2699 on DS to 222m, set / pressure grout casing and wait for grout to </w:t>
      </w:r>
      <w:proofErr w:type="gramStart"/>
      <w:r>
        <w:t>cure</w:t>
      </w:r>
      <w:proofErr w:type="gramEnd"/>
    </w:p>
    <w:p w14:paraId="00921E64" w14:textId="77777777" w:rsidR="00667036" w:rsidRDefault="00744767">
      <w:pPr>
        <w:ind w:left="16" w:right="194"/>
      </w:pPr>
      <w:r>
        <w:t xml:space="preserve">Relocated </w:t>
      </w:r>
      <w:r>
        <w:t>Rig 1227 from GN2696 to standby location</w:t>
      </w:r>
      <w:r>
        <w:rPr>
          <w:noProof/>
        </w:rPr>
        <w:drawing>
          <wp:inline distT="0" distB="0" distL="0" distR="0" wp14:anchorId="00708AD5" wp14:editId="788AB636">
            <wp:extent cx="3232" cy="6464"/>
            <wp:effectExtent l="0" t="0" r="0" b="0"/>
            <wp:docPr id="4291" name="Picture 4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1" name="Picture 429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481CD" w14:textId="77777777" w:rsidR="00667036" w:rsidRDefault="00744767">
      <w:pPr>
        <w:ind w:left="16" w:right="194"/>
      </w:pPr>
      <w:r>
        <w:t>3rd Narrabri unit ETA on site Tuesday next week</w:t>
      </w:r>
    </w:p>
    <w:p w14:paraId="4214540A" w14:textId="77777777" w:rsidR="00667036" w:rsidRDefault="00744767">
      <w:pPr>
        <w:ind w:left="16" w:right="194"/>
      </w:pPr>
      <w:r>
        <w:t>Liquid N2 flow reduction by 1411/s over the duration of NS</w:t>
      </w:r>
    </w:p>
    <w:p w14:paraId="20E8DC4F" w14:textId="77777777" w:rsidR="00667036" w:rsidRDefault="00744767">
      <w:pPr>
        <w:ind w:left="16" w:right="194"/>
      </w:pPr>
      <w:r>
        <w:t>Liquid N2 re-tasked from GN2693 to GN2698 at 23:00pm</w:t>
      </w:r>
    </w:p>
    <w:p w14:paraId="205897AC" w14:textId="77777777" w:rsidR="00667036" w:rsidRDefault="00744767">
      <w:pPr>
        <w:ind w:left="16" w:right="194"/>
      </w:pPr>
      <w:r>
        <w:t xml:space="preserve">Overall decrease of 1 001/s from start of shift DS </w:t>
      </w:r>
      <w:proofErr w:type="gramStart"/>
      <w:r>
        <w:t>22/</w:t>
      </w:r>
      <w:r>
        <w:t>9/18</w:t>
      </w:r>
      <w:proofErr w:type="gramEnd"/>
    </w:p>
    <w:p w14:paraId="01BF5437" w14:textId="77777777" w:rsidR="00667036" w:rsidRDefault="00744767">
      <w:pPr>
        <w:ind w:left="15" w:right="0" w:hanging="10"/>
        <w:jc w:val="left"/>
      </w:pPr>
      <w:r>
        <w:rPr>
          <w:sz w:val="28"/>
        </w:rPr>
        <w:t>Floxal 6 capacity split to enable GN2693 injection at 105 1/s and retained capacity into GN1991 at 249 Ms at 22:30pm</w:t>
      </w:r>
    </w:p>
    <w:p w14:paraId="240E7456" w14:textId="77777777" w:rsidR="00667036" w:rsidRDefault="00744767">
      <w:pPr>
        <w:ind w:left="16" w:right="194"/>
      </w:pPr>
      <w:r>
        <w:t xml:space="preserve">RE-ENTRY </w:t>
      </w:r>
      <w:proofErr w:type="gramStart"/>
      <w:r>
        <w:t>PLAN :</w:t>
      </w:r>
      <w:proofErr w:type="gramEnd"/>
      <w:r>
        <w:t xml:space="preserve"> RA - chute road sealing (to allow underground entry to extract LW9N supports) - review plan</w:t>
      </w:r>
    </w:p>
    <w:p w14:paraId="5991BD1E" w14:textId="77777777" w:rsidR="00667036" w:rsidRDefault="00744767">
      <w:pPr>
        <w:ind w:left="16" w:right="194"/>
      </w:pPr>
      <w:r>
        <w:t xml:space="preserve">Cattle grid underpass for </w:t>
      </w:r>
      <w:r>
        <w:t xml:space="preserve">tube bundle run cleaned out and tube bundle run out from hut to Main Floxal area entry </w:t>
      </w:r>
      <w:proofErr w:type="gramStart"/>
      <w:r>
        <w:t>point</w:t>
      </w:r>
      <w:proofErr w:type="gramEnd"/>
    </w:p>
    <w:p w14:paraId="47110961" w14:textId="77777777" w:rsidR="00667036" w:rsidRDefault="00744767">
      <w:pPr>
        <w:spacing w:after="197"/>
        <w:ind w:left="16" w:right="402"/>
      </w:pPr>
      <w:r>
        <w:t xml:space="preserve">Test run on the surface, running hoses and clamping around rods for GN2697 to understand timing of activity to sync in with completion of GN2700 hole through and </w:t>
      </w:r>
      <w:r>
        <w:rPr>
          <w:noProof/>
        </w:rPr>
        <w:drawing>
          <wp:inline distT="0" distB="0" distL="0" distR="0" wp14:anchorId="7C7D3598" wp14:editId="6A7DF6E3">
            <wp:extent cx="3232" cy="6463"/>
            <wp:effectExtent l="0" t="0" r="0" b="0"/>
            <wp:docPr id="4292" name="Picture 4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2" name="Picture 429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tube bundle installation used an available borehole in GM South Re-calibrate the tube </w:t>
      </w:r>
      <w:proofErr w:type="gramStart"/>
      <w:r>
        <w:t>bundle</w:t>
      </w:r>
      <w:proofErr w:type="gramEnd"/>
    </w:p>
    <w:p w14:paraId="73A1B423" w14:textId="77777777" w:rsidR="00667036" w:rsidRDefault="00744767">
      <w:pPr>
        <w:pStyle w:val="Heading3"/>
      </w:pPr>
      <w:r>
        <w:t>Next 24</w:t>
      </w:r>
    </w:p>
    <w:p w14:paraId="1D88A41E" w14:textId="77777777" w:rsidR="00667036" w:rsidRDefault="00744767">
      <w:pPr>
        <w:ind w:left="16" w:right="194"/>
      </w:pPr>
      <w:r>
        <w:t xml:space="preserve">QMRS Foam prepare set up for GN2700 hole </w:t>
      </w:r>
      <w:proofErr w:type="gramStart"/>
      <w:r>
        <w:t>through</w:t>
      </w:r>
      <w:proofErr w:type="gramEnd"/>
    </w:p>
    <w:p w14:paraId="1E0CE10D" w14:textId="77777777" w:rsidR="00667036" w:rsidRDefault="00744767">
      <w:pPr>
        <w:ind w:left="16" w:right="194"/>
      </w:pPr>
      <w:r>
        <w:t xml:space="preserve">RE-ENTRY PLAN RA - chute road sealing (to allow underground entry to extract LW9N supports) - review </w:t>
      </w:r>
      <w:proofErr w:type="gramStart"/>
      <w:r>
        <w:t>WRAC</w:t>
      </w:r>
      <w:proofErr w:type="gramEnd"/>
    </w:p>
    <w:p w14:paraId="6F227481" w14:textId="77777777" w:rsidR="00667036" w:rsidRDefault="00744767">
      <w:pPr>
        <w:ind w:left="16" w:right="19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D75473D" wp14:editId="173AFB21">
            <wp:simplePos x="0" y="0"/>
            <wp:positionH relativeFrom="page">
              <wp:posOffset>849927</wp:posOffset>
            </wp:positionH>
            <wp:positionV relativeFrom="page">
              <wp:posOffset>9381811</wp:posOffset>
            </wp:positionV>
            <wp:extent cx="3232" cy="3232"/>
            <wp:effectExtent l="0" t="0" r="0" b="0"/>
            <wp:wrapSquare wrapText="bothSides"/>
            <wp:docPr id="4298" name="Picture 4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8" name="Picture 429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RA - review Wilsons remote sealing, identified identical hazards and will require re-ranking using Peabody matrix</w:t>
      </w:r>
      <w:r>
        <w:rPr>
          <w:noProof/>
        </w:rPr>
        <w:drawing>
          <wp:inline distT="0" distB="0" distL="0" distR="0" wp14:anchorId="4CC0E027" wp14:editId="1E6416BB">
            <wp:extent cx="3232" cy="25854"/>
            <wp:effectExtent l="0" t="0" r="0" b="0"/>
            <wp:docPr id="12209" name="Picture 12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9" name="Picture 1220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C6F54" w14:textId="77777777" w:rsidR="00667036" w:rsidRDefault="00744767">
      <w:pPr>
        <w:ind w:left="16" w:right="194"/>
      </w:pPr>
      <w:r>
        <w:t>Drilling GN2699 - drill out cement</w:t>
      </w:r>
      <w:r>
        <w:t xml:space="preserve"> shoe and drill to target </w:t>
      </w:r>
      <w:proofErr w:type="gramStart"/>
      <w:r>
        <w:t>depth</w:t>
      </w:r>
      <w:proofErr w:type="gramEnd"/>
    </w:p>
    <w:p w14:paraId="7EA7A3BB" w14:textId="77777777" w:rsidR="00667036" w:rsidRDefault="00744767">
      <w:pPr>
        <w:ind w:left="16" w:right="194"/>
      </w:pPr>
      <w:r>
        <w:t>Drilling GN2700 - drill out to target depth (2nd hole for tube bundle monitoring in tailgate chute rd.)</w:t>
      </w:r>
    </w:p>
    <w:p w14:paraId="0041424F" w14:textId="77777777" w:rsidR="00667036" w:rsidRDefault="00744767">
      <w:pPr>
        <w:ind w:left="16" w:right="194"/>
      </w:pPr>
      <w:r>
        <w:lastRenderedPageBreak/>
        <w:t xml:space="preserve">Re-drilling GN2696 after pulling out of inside casing and re-establish inside casing Bag sample from </w:t>
      </w:r>
      <w:proofErr w:type="gramStart"/>
      <w:r>
        <w:t>GN2696</w:t>
      </w:r>
      <w:proofErr w:type="gramEnd"/>
    </w:p>
    <w:p w14:paraId="62999076" w14:textId="77777777" w:rsidR="00667036" w:rsidRDefault="00744767">
      <w:pPr>
        <w:ind w:left="16" w:right="194"/>
      </w:pPr>
      <w:r>
        <w:t>Continue fil</w:t>
      </w:r>
      <w:r>
        <w:t xml:space="preserve">ling in Mine Re-entry Assessment System (MRAS) </w:t>
      </w:r>
      <w:proofErr w:type="gramStart"/>
      <w:r>
        <w:t>questionnaire ,</w:t>
      </w:r>
      <w:proofErr w:type="gramEnd"/>
      <w:r>
        <w:t xml:space="preserve"> 5 modules completed</w:t>
      </w:r>
      <w:r>
        <w:rPr>
          <w:noProof/>
        </w:rPr>
        <w:drawing>
          <wp:inline distT="0" distB="0" distL="0" distR="0" wp14:anchorId="00C8C041" wp14:editId="3084398F">
            <wp:extent cx="3232" cy="3232"/>
            <wp:effectExtent l="0" t="0" r="0" b="0"/>
            <wp:docPr id="4295" name="Picture 4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5" name="Picture 429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7EED0" w14:textId="77777777" w:rsidR="00667036" w:rsidRDefault="00744767">
      <w:pPr>
        <w:ind w:left="15" w:right="0" w:hanging="10"/>
        <w:jc w:val="left"/>
      </w:pPr>
      <w:r>
        <w:rPr>
          <w:sz w:val="28"/>
        </w:rPr>
        <w:t xml:space="preserve">Take Bag samples from TB#14 and TB#38 </w:t>
      </w:r>
      <w:proofErr w:type="spellStart"/>
      <w:r>
        <w:rPr>
          <w:sz w:val="28"/>
        </w:rPr>
        <w:t>shiftly</w:t>
      </w:r>
      <w:proofErr w:type="spellEnd"/>
      <w:r>
        <w:rPr>
          <w:noProof/>
        </w:rPr>
        <w:drawing>
          <wp:inline distT="0" distB="0" distL="0" distR="0" wp14:anchorId="5BA0E26A" wp14:editId="461ADC14">
            <wp:extent cx="3232" cy="3232"/>
            <wp:effectExtent l="0" t="0" r="0" b="0"/>
            <wp:docPr id="4296" name="Picture 4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6" name="Picture 429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171A9" w14:textId="77777777" w:rsidR="00667036" w:rsidRDefault="00744767">
      <w:pPr>
        <w:spacing w:after="445"/>
        <w:ind w:left="15" w:right="0" w:hanging="10"/>
        <w:jc w:val="left"/>
      </w:pPr>
      <w:r>
        <w:rPr>
          <w:sz w:val="28"/>
        </w:rPr>
        <w:t xml:space="preserve">Liquid N2 ran out at 0632am, re-tasking GN2695 Floxal capacity to </w:t>
      </w:r>
      <w:proofErr w:type="gramStart"/>
      <w:r>
        <w:rPr>
          <w:sz w:val="28"/>
        </w:rPr>
        <w:t>GN2698</w:t>
      </w:r>
      <w:proofErr w:type="gramEnd"/>
    </w:p>
    <w:p w14:paraId="5E9240E7" w14:textId="77777777" w:rsidR="00667036" w:rsidRDefault="00744767">
      <w:pPr>
        <w:spacing w:after="151"/>
        <w:ind w:left="15" w:right="0" w:hanging="10"/>
        <w:jc w:val="left"/>
      </w:pPr>
      <w:r>
        <w:rPr>
          <w:sz w:val="28"/>
        </w:rPr>
        <w:t>Other Items</w:t>
      </w:r>
    </w:p>
    <w:p w14:paraId="2BD0B5F6" w14:textId="77777777" w:rsidR="00667036" w:rsidRDefault="00744767">
      <w:pPr>
        <w:ind w:left="16" w:right="194"/>
      </w:pPr>
      <w:r>
        <w:t xml:space="preserve">Tuesday 25th September - Floxal maintenance </w:t>
      </w:r>
      <w:proofErr w:type="gramStart"/>
      <w:r>
        <w:t>planned</w:t>
      </w:r>
      <w:proofErr w:type="gramEnd"/>
    </w:p>
    <w:p w14:paraId="00E16242" w14:textId="77777777" w:rsidR="00667036" w:rsidRDefault="00744767">
      <w:pPr>
        <w:ind w:left="16" w:right="194"/>
      </w:pPr>
      <w:r>
        <w:t>Identify compatibility of Millennium Floxal compressors with Narrabri AFTECH unit (Floxal 6)</w:t>
      </w:r>
    </w:p>
    <w:p w14:paraId="618320D1" w14:textId="77777777" w:rsidR="00667036" w:rsidRDefault="00744767">
      <w:pPr>
        <w:spacing w:after="1045"/>
        <w:ind w:left="16" w:right="194"/>
      </w:pPr>
      <w:r>
        <w:t>Optimise volume distributi</w:t>
      </w:r>
      <w:r>
        <w:t xml:space="preserve">on for re-entry plan - taking into consideration latest TB28 </w:t>
      </w:r>
      <w:r>
        <w:rPr>
          <w:noProof/>
        </w:rPr>
        <w:drawing>
          <wp:inline distT="0" distB="0" distL="0" distR="0" wp14:anchorId="0F79CC14" wp14:editId="4E96C274">
            <wp:extent cx="3232" cy="6463"/>
            <wp:effectExtent l="0" t="0" r="0" b="0"/>
            <wp:docPr id="4297" name="Picture 4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7" name="Picture 429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trends and consider re-tasking capacity from MG </w:t>
      </w:r>
      <w:proofErr w:type="gramStart"/>
      <w:r>
        <w:t>side</w:t>
      </w:r>
      <w:proofErr w:type="gramEnd"/>
    </w:p>
    <w:p w14:paraId="7E8EDD85" w14:textId="77777777" w:rsidR="00667036" w:rsidRDefault="00744767">
      <w:pPr>
        <w:spacing w:line="259" w:lineRule="auto"/>
        <w:ind w:left="0" w:right="585" w:firstLine="0"/>
        <w:jc w:val="right"/>
      </w:pPr>
      <w:r>
        <w:rPr>
          <w:sz w:val="20"/>
        </w:rPr>
        <w:t xml:space="preserve">2 </w:t>
      </w:r>
    </w:p>
    <w:p w14:paraId="49D53CB0" w14:textId="77777777" w:rsidR="00667036" w:rsidRDefault="00744767">
      <w:pPr>
        <w:pStyle w:val="Heading2"/>
        <w:spacing w:after="127"/>
        <w:ind w:left="152"/>
      </w:pPr>
      <w:r>
        <w:t>Discussion</w:t>
      </w:r>
    </w:p>
    <w:p w14:paraId="14861211" w14:textId="77777777" w:rsidR="00667036" w:rsidRDefault="00744767">
      <w:pPr>
        <w:numPr>
          <w:ilvl w:val="0"/>
          <w:numId w:val="1"/>
        </w:numPr>
        <w:spacing w:after="173"/>
        <w:ind w:right="194"/>
      </w:pPr>
      <w:r>
        <w:t>Gas analysis was discussed and from 5:45 am results came through that showed that -</w:t>
      </w:r>
    </w:p>
    <w:p w14:paraId="766FDFC1" w14:textId="77777777" w:rsidR="00667036" w:rsidRDefault="00744767">
      <w:pPr>
        <w:ind w:left="260" w:right="194"/>
      </w:pPr>
      <w:r>
        <w:rPr>
          <w:noProof/>
        </w:rPr>
        <w:drawing>
          <wp:inline distT="0" distB="0" distL="0" distR="0" wp14:anchorId="08AEB5E9" wp14:editId="31854FFC">
            <wp:extent cx="67865" cy="77563"/>
            <wp:effectExtent l="0" t="0" r="0" b="0"/>
            <wp:docPr id="12212" name="Picture 12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2" name="Picture 1221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7865" cy="7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TB29 H2 jumped to 550 and then 745ppm — higher CO &amp; hydrocarbons </w:t>
      </w:r>
      <w:proofErr w:type="gramStart"/>
      <w:r>
        <w:t>followed</w:t>
      </w:r>
      <w:proofErr w:type="gramEnd"/>
    </w:p>
    <w:p w14:paraId="3CE7D730" w14:textId="77777777" w:rsidR="00667036" w:rsidRDefault="00744767">
      <w:pPr>
        <w:ind w:left="260" w:right="6122" w:firstLine="229"/>
      </w:pPr>
      <w:r>
        <w:t xml:space="preserve">too o </w:t>
      </w:r>
      <w:r>
        <w:t xml:space="preserve">TB28 reflected the </w:t>
      </w:r>
      <w:proofErr w:type="gramStart"/>
      <w:r>
        <w:t>same</w:t>
      </w:r>
      <w:proofErr w:type="gramEnd"/>
    </w:p>
    <w:p w14:paraId="253731D1" w14:textId="77777777" w:rsidR="00667036" w:rsidRDefault="00744767">
      <w:pPr>
        <w:spacing w:after="190"/>
        <w:ind w:left="260" w:right="31"/>
      </w:pPr>
      <w:r>
        <w:rPr>
          <w:noProof/>
        </w:rPr>
        <w:drawing>
          <wp:inline distT="0" distB="0" distL="0" distR="0" wp14:anchorId="625A540E" wp14:editId="3E57914D">
            <wp:extent cx="67865" cy="74331"/>
            <wp:effectExtent l="0" t="0" r="0" b="0"/>
            <wp:docPr id="6331" name="Picture 6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1" name="Picture 633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7865" cy="7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TB38 (</w:t>
      </w:r>
      <w:proofErr w:type="spellStart"/>
      <w:r>
        <w:t>Eframe</w:t>
      </w:r>
      <w:proofErr w:type="spellEnd"/>
      <w:r>
        <w:t xml:space="preserve">) &amp; TB14 (MG chute) are now beginning to show presence of heating products - analysis records requested by G. </w:t>
      </w:r>
      <w:proofErr w:type="gramStart"/>
      <w:r>
        <w:t>Nugent(</w:t>
      </w:r>
      <w:proofErr w:type="spellStart"/>
      <w:proofErr w:type="gramEnd"/>
      <w:r>
        <w:t>lnspector</w:t>
      </w:r>
      <w:proofErr w:type="spellEnd"/>
      <w:r>
        <w:t xml:space="preserve"> of Mines) b</w:t>
      </w:r>
      <w:r>
        <w:t xml:space="preserve">y email separate to the meeting which Mr Stook undertook to provide </w:t>
      </w:r>
      <w:r>
        <w:t xml:space="preserve">e </w:t>
      </w:r>
      <w:r>
        <w:t>Mine understood that bag sampling would be necessary since +1000ppm CO level had been reached</w:t>
      </w:r>
    </w:p>
    <w:p w14:paraId="517EEF8C" w14:textId="77777777" w:rsidR="00667036" w:rsidRDefault="00744767">
      <w:pPr>
        <w:spacing w:after="219"/>
        <w:ind w:left="142" w:right="87"/>
      </w:pPr>
      <w:r>
        <w:t>Interpretation of the sudden increases was, that the anticipated flushing effect caused by i</w:t>
      </w:r>
      <w:r>
        <w:t xml:space="preserve">ntroduction of liquid nitrogen to hole 2698, </w:t>
      </w:r>
      <w:proofErr w:type="gramStart"/>
      <w:r>
        <w:t>or,</w:t>
      </w:r>
      <w:proofErr w:type="gramEnd"/>
      <w:r>
        <w:t xml:space="preserve"> it could be acceleration of the spontaneous combustion event. The meeting was advised that the associated ratio information did not support accelerated oxidation.</w:t>
      </w:r>
      <w:r>
        <w:rPr>
          <w:noProof/>
        </w:rPr>
        <w:drawing>
          <wp:inline distT="0" distB="0" distL="0" distR="0" wp14:anchorId="406E063F" wp14:editId="57F27F78">
            <wp:extent cx="3232" cy="3232"/>
            <wp:effectExtent l="0" t="0" r="0" b="0"/>
            <wp:docPr id="6332" name="Picture 6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2" name="Picture 633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8B8C9" w14:textId="77777777" w:rsidR="00667036" w:rsidRDefault="00744767">
      <w:pPr>
        <w:numPr>
          <w:ilvl w:val="0"/>
          <w:numId w:val="1"/>
        </w:numPr>
        <w:spacing w:after="181"/>
        <w:ind w:right="194"/>
      </w:pPr>
      <w:r>
        <w:t>Nitrogen injection had been decreased as li</w:t>
      </w:r>
      <w:r>
        <w:t>quid nitrogen supply to 2698 ran out at 1 1 pm last night — refiguration of the nitrogen feed will be considered at 1M T to target as much to GN2698 as possible (more liquid Nitrogen due 4pm today)</w:t>
      </w:r>
    </w:p>
    <w:p w14:paraId="0295B238" w14:textId="77777777" w:rsidR="00667036" w:rsidRDefault="00744767">
      <w:pPr>
        <w:numPr>
          <w:ilvl w:val="0"/>
          <w:numId w:val="1"/>
        </w:numPr>
        <w:spacing w:after="203"/>
        <w:ind w:right="194"/>
      </w:pPr>
      <w:r>
        <w:lastRenderedPageBreak/>
        <w:t xml:space="preserve">Plan B </w:t>
      </w:r>
      <w:proofErr w:type="spellStart"/>
      <w:proofErr w:type="gramStart"/>
      <w:r>
        <w:t>ie</w:t>
      </w:r>
      <w:proofErr w:type="spellEnd"/>
      <w:proofErr w:type="gramEnd"/>
      <w:r>
        <w:t xml:space="preserve"> plug TG chute will take 18 hours to effect so wo</w:t>
      </w:r>
      <w:r>
        <w:t xml:space="preserve">rk will continue to give this option while gas trends are continually reviewed. It was reiterated by Inspector </w:t>
      </w:r>
      <w:r>
        <w:rPr>
          <w:noProof/>
        </w:rPr>
        <w:drawing>
          <wp:inline distT="0" distB="0" distL="0" distR="0" wp14:anchorId="0D10FD9B" wp14:editId="5FDDE312">
            <wp:extent cx="3232" cy="3232"/>
            <wp:effectExtent l="0" t="0" r="0" b="0"/>
            <wp:docPr id="6333" name="Picture 6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3" name="Picture 633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Gouldstone that it is the Mine's decision on how best to </w:t>
      </w:r>
      <w:proofErr w:type="gramStart"/>
      <w:r>
        <w:t>effect</w:t>
      </w:r>
      <w:proofErr w:type="gramEnd"/>
      <w:r>
        <w:t xml:space="preserve"> the plan but to ensure acceptable level of risk to those who may be affected.</w:t>
      </w:r>
    </w:p>
    <w:p w14:paraId="43E2AE7D" w14:textId="77777777" w:rsidR="00667036" w:rsidRDefault="00744767">
      <w:pPr>
        <w:numPr>
          <w:ilvl w:val="0"/>
          <w:numId w:val="1"/>
        </w:numPr>
        <w:spacing w:after="307" w:line="345" w:lineRule="auto"/>
        <w:ind w:right="194"/>
      </w:pPr>
      <w:r>
        <w:t>Th</w:t>
      </w:r>
      <w:r>
        <w:t xml:space="preserve">e Mine undertook to continue to keep inspectors informed of how matters </w:t>
      </w:r>
      <w:r>
        <w:t>progress.</w:t>
      </w:r>
    </w:p>
    <w:p w14:paraId="6A4CC854" w14:textId="77777777" w:rsidR="00667036" w:rsidRDefault="00744767">
      <w:pPr>
        <w:spacing w:after="58" w:line="259" w:lineRule="auto"/>
        <w:ind w:left="489" w:right="0" w:firstLine="0"/>
        <w:jc w:val="left"/>
      </w:pPr>
      <w:r>
        <w:rPr>
          <w:noProof/>
        </w:rPr>
        <w:drawing>
          <wp:inline distT="0" distB="0" distL="0" distR="0" wp14:anchorId="5E5D197B" wp14:editId="34A76BC3">
            <wp:extent cx="2856789" cy="743306"/>
            <wp:effectExtent l="0" t="0" r="0" b="0"/>
            <wp:docPr id="6436" name="Picture 6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6" name="Picture 643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56789" cy="74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E23F9" w14:textId="77777777" w:rsidR="00667036" w:rsidRDefault="00744767">
      <w:pPr>
        <w:ind w:left="168" w:right="194"/>
      </w:pPr>
      <w:r>
        <w:t>Richard Gouldstone</w:t>
      </w:r>
    </w:p>
    <w:p w14:paraId="19A6B8B0" w14:textId="77777777" w:rsidR="00667036" w:rsidRDefault="00744767">
      <w:pPr>
        <w:spacing w:after="2676" w:line="259" w:lineRule="auto"/>
        <w:ind w:left="168" w:right="0" w:firstLine="0"/>
        <w:jc w:val="left"/>
      </w:pPr>
      <w:r>
        <w:rPr>
          <w:sz w:val="24"/>
        </w:rPr>
        <w:t>Inspector of Mines</w:t>
      </w:r>
    </w:p>
    <w:p w14:paraId="2C07F861" w14:textId="77777777" w:rsidR="00667036" w:rsidRDefault="00744767">
      <w:pPr>
        <w:spacing w:after="3" w:line="259" w:lineRule="auto"/>
        <w:ind w:left="10" w:right="478" w:hanging="10"/>
        <w:jc w:val="right"/>
      </w:pPr>
      <w:r>
        <w:rPr>
          <w:sz w:val="18"/>
        </w:rPr>
        <w:t xml:space="preserve">g </w:t>
      </w:r>
    </w:p>
    <w:sectPr w:rsidR="00667036">
      <w:type w:val="continuous"/>
      <w:pgSz w:w="11909" w:h="16841"/>
      <w:pgMar w:top="2814" w:right="1252" w:bottom="461" w:left="13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4EC92" w14:textId="77777777" w:rsidR="00744767" w:rsidRDefault="00744767">
      <w:pPr>
        <w:spacing w:line="240" w:lineRule="auto"/>
      </w:pPr>
      <w:r>
        <w:separator/>
      </w:r>
    </w:p>
  </w:endnote>
  <w:endnote w:type="continuationSeparator" w:id="0">
    <w:p w14:paraId="69161996" w14:textId="77777777" w:rsidR="00744767" w:rsidRDefault="00744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AE9D" w14:textId="77777777" w:rsidR="00667036" w:rsidRDefault="00744767">
    <w:pPr>
      <w:tabs>
        <w:tab w:val="center" w:pos="3657"/>
        <w:tab w:val="right" w:pos="8153"/>
      </w:tabs>
      <w:spacing w:line="259" w:lineRule="auto"/>
      <w:ind w:left="-804" w:right="-550" w:firstLine="0"/>
      <w:jc w:val="left"/>
    </w:pPr>
    <w:r>
      <w:rPr>
        <w:sz w:val="18"/>
      </w:rPr>
      <w:t>24/09/2018</w:t>
    </w:r>
    <w:r>
      <w:rPr>
        <w:sz w:val="18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rPr>
        <w:sz w:val="18"/>
      </w:rPr>
      <w:t xml:space="preserve">of </w:t>
    </w:r>
    <w:r>
      <w:rPr>
        <w:sz w:val="22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DE25" w14:textId="77777777" w:rsidR="00667036" w:rsidRDefault="00744767">
    <w:pPr>
      <w:tabs>
        <w:tab w:val="center" w:pos="3657"/>
        <w:tab w:val="right" w:pos="8153"/>
      </w:tabs>
      <w:spacing w:line="259" w:lineRule="auto"/>
      <w:ind w:left="-804" w:right="-550" w:firstLine="0"/>
      <w:jc w:val="left"/>
    </w:pPr>
    <w:r>
      <w:rPr>
        <w:sz w:val="18"/>
      </w:rPr>
      <w:t>24/09/2018</w:t>
    </w:r>
    <w:r>
      <w:rPr>
        <w:sz w:val="18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rPr>
        <w:sz w:val="18"/>
      </w:rPr>
      <w:t xml:space="preserve">of </w:t>
    </w:r>
    <w:r>
      <w:rPr>
        <w:sz w:val="2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9C8A7" w14:textId="77777777" w:rsidR="00667036" w:rsidRDefault="00744767">
    <w:pPr>
      <w:tabs>
        <w:tab w:val="center" w:pos="3657"/>
        <w:tab w:val="right" w:pos="8153"/>
      </w:tabs>
      <w:spacing w:line="259" w:lineRule="auto"/>
      <w:ind w:left="-804" w:right="-550" w:firstLine="0"/>
      <w:jc w:val="left"/>
    </w:pPr>
    <w:r>
      <w:rPr>
        <w:sz w:val="18"/>
      </w:rPr>
      <w:t>24/09/2018</w:t>
    </w:r>
    <w:r>
      <w:rPr>
        <w:sz w:val="18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rPr>
        <w:sz w:val="18"/>
      </w:rPr>
      <w:t xml:space="preserve">of </w:t>
    </w:r>
    <w:r>
      <w:rPr>
        <w:sz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141A1" w14:textId="77777777" w:rsidR="00744767" w:rsidRDefault="00744767">
      <w:pPr>
        <w:spacing w:line="240" w:lineRule="auto"/>
      </w:pPr>
      <w:r>
        <w:separator/>
      </w:r>
    </w:p>
  </w:footnote>
  <w:footnote w:type="continuationSeparator" w:id="0">
    <w:p w14:paraId="7FC62330" w14:textId="77777777" w:rsidR="00744767" w:rsidRDefault="007447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83343"/>
    <w:multiLevelType w:val="hybridMultilevel"/>
    <w:tmpl w:val="A3466206"/>
    <w:lvl w:ilvl="0" w:tplc="112625D0">
      <w:start w:val="1"/>
      <w:numFmt w:val="lowerRoman"/>
      <w:lvlText w:val="%1)"/>
      <w:lvlJc w:val="left"/>
      <w:pPr>
        <w:ind w:left="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507084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864CF0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A9D08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22688C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E8652A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1235A2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7AD8FA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25A08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36"/>
    <w:rsid w:val="00540D0A"/>
    <w:rsid w:val="00667036"/>
    <w:rsid w:val="0074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5688"/>
  <w15:docId w15:val="{87CED2BE-11A3-4AC9-89F5-427917C3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102" w:right="936" w:firstLine="5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29"/>
      <w:jc w:val="center"/>
      <w:outlineLvl w:val="0"/>
    </w:pPr>
    <w:rPr>
      <w:rFonts w:ascii="Calibri" w:eastAsia="Calibri" w:hAnsi="Calibri" w:cs="Calibri"/>
      <w:color w:val="000000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6" w:hanging="10"/>
      <w:outlineLvl w:val="1"/>
    </w:pPr>
    <w:rPr>
      <w:rFonts w:ascii="Calibri" w:eastAsia="Calibri" w:hAnsi="Calibri" w:cs="Calibri"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67"/>
      <w:ind w:left="20"/>
      <w:outlineLvl w:val="2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3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10" Type="http://schemas.openxmlformats.org/officeDocument/2006/relationships/footer" Target="footer3.xml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cp:lastModifiedBy>Stuart Vaccaneo</cp:lastModifiedBy>
  <cp:revision>2</cp:revision>
  <dcterms:created xsi:type="dcterms:W3CDTF">2021-02-02T22:43:00Z</dcterms:created>
  <dcterms:modified xsi:type="dcterms:W3CDTF">2021-02-02T22:43:00Z</dcterms:modified>
</cp:coreProperties>
</file>