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350EF" w14:textId="77777777" w:rsidR="004D3823" w:rsidRDefault="00531DF4">
      <w:pPr>
        <w:spacing w:after="0" w:line="259" w:lineRule="auto"/>
        <w:ind w:left="2636" w:firstLine="0"/>
        <w:jc w:val="center"/>
      </w:pPr>
      <w:r>
        <w:rPr>
          <w:sz w:val="18"/>
        </w:rPr>
        <w:t>Mackay Office</w:t>
      </w:r>
    </w:p>
    <w:p w14:paraId="5494C454" w14:textId="77777777" w:rsidR="004D3823" w:rsidRDefault="00531DF4">
      <w:pPr>
        <w:spacing w:after="0" w:line="259" w:lineRule="auto"/>
        <w:ind w:left="0" w:right="468" w:firstLine="0"/>
        <w:jc w:val="right"/>
      </w:pPr>
      <w:r>
        <w:rPr>
          <w:sz w:val="18"/>
        </w:rPr>
        <w:t>PO. Box 18011 Mackay, QLD 4740</w:t>
      </w:r>
      <w:r>
        <w:rPr>
          <w:noProof/>
        </w:rPr>
        <w:drawing>
          <wp:inline distT="0" distB="0" distL="0" distR="0" wp14:anchorId="6F0CEFB8" wp14:editId="5E5557A9">
            <wp:extent cx="3231" cy="6464"/>
            <wp:effectExtent l="0" t="0" r="0" b="0"/>
            <wp:docPr id="2113" name="Picture 21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Picture 21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31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CACBF" w14:textId="77777777" w:rsidR="004D3823" w:rsidRDefault="00531DF4">
      <w:pPr>
        <w:tabs>
          <w:tab w:val="right" w:pos="7547"/>
        </w:tabs>
        <w:spacing w:after="0" w:line="259" w:lineRule="auto"/>
        <w:ind w:left="0" w:firstLine="0"/>
        <w:jc w:val="left"/>
      </w:pPr>
      <w:r>
        <w:rPr>
          <w:sz w:val="18"/>
        </w:rPr>
        <w:t>Queensland Government</w:t>
      </w:r>
      <w:r>
        <w:rPr>
          <w:sz w:val="18"/>
        </w:rPr>
        <w:tab/>
        <w:t>Phone: 07 4999 8512, Fax: 07 49998519</w:t>
      </w:r>
    </w:p>
    <w:p w14:paraId="34BBFA3F" w14:textId="77777777" w:rsidR="004D3823" w:rsidRDefault="004D3823">
      <w:pPr>
        <w:sectPr w:rsidR="004D3823">
          <w:footerReference w:type="even" r:id="rId8"/>
          <w:footerReference w:type="default" r:id="rId9"/>
          <w:footerReference w:type="first" r:id="rId10"/>
          <w:pgSz w:w="11909" w:h="16841"/>
          <w:pgMar w:top="1623" w:right="2051" w:bottom="580" w:left="2311" w:header="720" w:footer="590" w:gutter="0"/>
          <w:cols w:space="720"/>
        </w:sectPr>
      </w:pPr>
    </w:p>
    <w:tbl>
      <w:tblPr>
        <w:tblStyle w:val="TableGrid"/>
        <w:tblW w:w="9156" w:type="dxa"/>
        <w:tblInd w:w="0" w:type="dxa"/>
        <w:tblCellMar>
          <w:top w:w="52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2826"/>
        <w:gridCol w:w="3364"/>
        <w:gridCol w:w="1832"/>
        <w:gridCol w:w="1134"/>
      </w:tblGrid>
      <w:tr w:rsidR="004D3823" w14:paraId="11A6F64E" w14:textId="77777777">
        <w:trPr>
          <w:trHeight w:val="273"/>
        </w:trPr>
        <w:tc>
          <w:tcPr>
            <w:tcW w:w="28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A7C1B14" w14:textId="77777777" w:rsidR="004D3823" w:rsidRDefault="00531DF4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Mine Name</w:t>
            </w:r>
          </w:p>
        </w:tc>
        <w:tc>
          <w:tcPr>
            <w:tcW w:w="3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627A016" w14:textId="77777777" w:rsidR="004D3823" w:rsidRDefault="00531DF4">
            <w:pPr>
              <w:tabs>
                <w:tab w:val="center" w:pos="1774"/>
              </w:tabs>
              <w:spacing w:after="0" w:line="259" w:lineRule="auto"/>
              <w:ind w:left="0" w:firstLine="0"/>
              <w:jc w:val="left"/>
            </w:pPr>
            <w:r>
              <w:t>Mine ID</w:t>
            </w:r>
            <w:r>
              <w:tab/>
              <w:t>Operator</w:t>
            </w: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9355351" w14:textId="77777777" w:rsidR="004D3823" w:rsidRDefault="00531DF4">
            <w:pPr>
              <w:spacing w:after="0" w:line="259" w:lineRule="auto"/>
              <w:ind w:left="0" w:firstLine="0"/>
              <w:jc w:val="left"/>
            </w:pPr>
            <w:r>
              <w:t>Activity Type</w:t>
            </w: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CA36D9" w14:textId="77777777" w:rsidR="004D3823" w:rsidRDefault="00531DF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Activity Date</w:t>
            </w:r>
          </w:p>
        </w:tc>
      </w:tr>
      <w:tr w:rsidR="004D3823" w14:paraId="3575F931" w14:textId="77777777">
        <w:trPr>
          <w:trHeight w:val="499"/>
        </w:trPr>
        <w:tc>
          <w:tcPr>
            <w:tcW w:w="28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4D43CF26" w14:textId="77777777" w:rsidR="004D3823" w:rsidRDefault="00531DF4">
            <w:pPr>
              <w:spacing w:after="0" w:line="259" w:lineRule="auto"/>
              <w:ind w:firstLine="0"/>
              <w:jc w:val="left"/>
            </w:pPr>
            <w:r>
              <w:rPr>
                <w:sz w:val="22"/>
              </w:rPr>
              <w:t>North Goonyella</w:t>
            </w:r>
          </w:p>
        </w:tc>
        <w:tc>
          <w:tcPr>
            <w:tcW w:w="336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D6EC337" w14:textId="77777777" w:rsidR="004D3823" w:rsidRDefault="00531DF4">
            <w:pPr>
              <w:spacing w:after="0" w:line="259" w:lineRule="auto"/>
              <w:ind w:left="1659" w:right="346" w:hanging="1659"/>
              <w:jc w:val="left"/>
            </w:pPr>
            <w:r>
              <w:rPr>
                <w:sz w:val="22"/>
              </w:rPr>
              <w:t>MIOI 157 Peabody (Bowen) Pty Ltd</w:t>
            </w:r>
          </w:p>
        </w:tc>
        <w:tc>
          <w:tcPr>
            <w:tcW w:w="18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D43E9B9" w14:textId="77777777" w:rsidR="004D3823" w:rsidRDefault="00531DF4">
            <w:pPr>
              <w:spacing w:after="0" w:line="259" w:lineRule="auto"/>
              <w:ind w:left="71" w:firstLine="0"/>
              <w:jc w:val="left"/>
            </w:pPr>
            <w:r>
              <w:rPr>
                <w:sz w:val="16"/>
              </w:rPr>
              <w:t>Site Meeting</w:t>
            </w:r>
          </w:p>
        </w:tc>
        <w:tc>
          <w:tcPr>
            <w:tcW w:w="109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6A48C2" w14:textId="77777777" w:rsidR="004D3823" w:rsidRDefault="00531DF4">
            <w:pPr>
              <w:spacing w:after="0" w:line="259" w:lineRule="auto"/>
              <w:ind w:left="36" w:firstLine="0"/>
            </w:pPr>
            <w:r>
              <w:rPr>
                <w:sz w:val="22"/>
              </w:rPr>
              <w:t>22/09/2018</w:t>
            </w:r>
          </w:p>
        </w:tc>
      </w:tr>
    </w:tbl>
    <w:p w14:paraId="09E5A7EB" w14:textId="77777777" w:rsidR="004D3823" w:rsidRDefault="00531DF4">
      <w:pPr>
        <w:spacing w:after="337" w:line="259" w:lineRule="auto"/>
        <w:ind w:left="0" w:firstLine="0"/>
        <w:jc w:val="center"/>
      </w:pPr>
      <w:r>
        <w:rPr>
          <w:sz w:val="20"/>
        </w:rPr>
        <w:t>Vision: Our Industries Free of Safety and Health Incidents</w:t>
      </w:r>
    </w:p>
    <w:p w14:paraId="4A67910D" w14:textId="77777777" w:rsidR="004D3823" w:rsidRDefault="00531DF4">
      <w:pPr>
        <w:pStyle w:val="Heading1"/>
      </w:pPr>
      <w:r>
        <w:t>Mine Record Entry</w:t>
      </w:r>
    </w:p>
    <w:p w14:paraId="02347FC9" w14:textId="77777777" w:rsidR="004D3823" w:rsidRDefault="00531DF4">
      <w:pPr>
        <w:spacing w:after="0" w:line="259" w:lineRule="auto"/>
        <w:ind w:left="10" w:firstLine="0"/>
        <w:jc w:val="center"/>
      </w:pPr>
      <w:r>
        <w:rPr>
          <w:sz w:val="26"/>
        </w:rPr>
        <w:t>This report forms part of the Mine Record under s68 of the Coal Mining Safety and</w:t>
      </w:r>
    </w:p>
    <w:p w14:paraId="3316F040" w14:textId="77777777" w:rsidR="004D3823" w:rsidRDefault="00531DF4">
      <w:pPr>
        <w:spacing w:after="104" w:line="216" w:lineRule="auto"/>
        <w:ind w:left="4122" w:hanging="4066"/>
        <w:jc w:val="left"/>
      </w:pPr>
      <w:r>
        <w:rPr>
          <w:sz w:val="26"/>
        </w:rPr>
        <w:t>Health Act 1999. It must be placed in the Mine Record and displayed on Safety Notice Boards.</w:t>
      </w:r>
    </w:p>
    <w:p w14:paraId="120BA3DE" w14:textId="77777777" w:rsidR="004D3823" w:rsidRDefault="00531DF4">
      <w:pPr>
        <w:spacing w:after="214" w:line="216" w:lineRule="auto"/>
        <w:ind w:left="148" w:right="5" w:hanging="41"/>
      </w:pPr>
      <w:r>
        <w:rPr>
          <w:sz w:val="28"/>
        </w:rPr>
        <w:t>Note</w:t>
      </w:r>
      <w:r>
        <w:rPr>
          <w:sz w:val="28"/>
        </w:rPr>
        <w:t xml:space="preserve"> that inspection or audit activities conducted by the Mines Inspectorate are based </w:t>
      </w:r>
      <w:r>
        <w:rPr>
          <w:sz w:val="28"/>
        </w:rPr>
        <w:t xml:space="preserve">upon sample techniques. It remains the primary responsibility of Mine Personnel to identify hazards, and risks associated with Operations and ensure those risks are at </w:t>
      </w:r>
      <w:r>
        <w:rPr>
          <w:noProof/>
        </w:rPr>
        <w:drawing>
          <wp:inline distT="0" distB="0" distL="0" distR="0" wp14:anchorId="0B10C4F1" wp14:editId="1D5FFD29">
            <wp:extent cx="3232" cy="3232"/>
            <wp:effectExtent l="0" t="0" r="0" b="0"/>
            <wp:docPr id="2114" name="Picture 2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4" name="Picture 211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7FDCCC" wp14:editId="72463BD9">
            <wp:extent cx="3232" cy="3232"/>
            <wp:effectExtent l="0" t="0" r="0" b="0"/>
            <wp:docPr id="2115" name="Picture 2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5" name="Picture 211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an acceptable level.</w:t>
      </w:r>
    </w:p>
    <w:p w14:paraId="639A333E" w14:textId="77777777" w:rsidR="004D3823" w:rsidRDefault="00531DF4">
      <w:pPr>
        <w:spacing w:after="326" w:line="216" w:lineRule="auto"/>
        <w:ind w:left="26" w:right="5" w:hanging="41"/>
      </w:pPr>
      <w:r>
        <w:rPr>
          <w:sz w:val="28"/>
        </w:rPr>
        <w:t>Site Safety &amp; Health Reps Consulted: Mr Peter Purdie</w:t>
      </w:r>
    </w:p>
    <w:p w14:paraId="2DACC92F" w14:textId="77777777" w:rsidR="004D3823" w:rsidRDefault="00531DF4">
      <w:pPr>
        <w:ind w:left="46"/>
      </w:pPr>
      <w:r>
        <w:t xml:space="preserve">Today the </w:t>
      </w:r>
      <w:proofErr w:type="gramStart"/>
      <w:r>
        <w:t>21st</w:t>
      </w:r>
      <w:proofErr w:type="gramEnd"/>
      <w:r>
        <w:t xml:space="preserve"> September 2018 Department of Natural Resources Mines and Energy Deputy</w:t>
      </w:r>
    </w:p>
    <w:p w14:paraId="58AEECFC" w14:textId="77777777" w:rsidR="004D3823" w:rsidRDefault="00531DF4">
      <w:pPr>
        <w:spacing w:after="489"/>
        <w:ind w:left="46" w:right="142"/>
      </w:pPr>
      <w:r>
        <w:t xml:space="preserve">Chief Inspector Shaun Dobson and Inspectors Geoff Nugent and Keith Brennan travelled to North Goonyella underground operations to continue monitoring the mine's progress in </w:t>
      </w:r>
      <w:r>
        <w:rPr>
          <w:noProof/>
        </w:rPr>
        <w:drawing>
          <wp:inline distT="0" distB="0" distL="0" distR="0" wp14:anchorId="0B72E773" wp14:editId="5225E4BE">
            <wp:extent cx="12927" cy="6464"/>
            <wp:effectExtent l="0" t="0" r="0" b="0"/>
            <wp:docPr id="12714" name="Picture 127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4" name="Picture 127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27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managing a spontaneous combustion event occurring on Longwall 9 North recovery </w:t>
      </w:r>
      <w:proofErr w:type="spellStart"/>
      <w:r>
        <w:t>fac</w:t>
      </w:r>
      <w:r>
        <w:t>eline</w:t>
      </w:r>
      <w:proofErr w:type="spellEnd"/>
      <w:r>
        <w:t xml:space="preserve">. An Incident Management Team meeting was convened for 8:30am and was attended by the </w:t>
      </w:r>
      <w:r>
        <w:rPr>
          <w:noProof/>
        </w:rPr>
        <w:drawing>
          <wp:inline distT="0" distB="0" distL="0" distR="0" wp14:anchorId="12C52F2F" wp14:editId="31AFCF9A">
            <wp:extent cx="6463" cy="19391"/>
            <wp:effectExtent l="0" t="0" r="0" b="0"/>
            <wp:docPr id="12716" name="Picture 127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6" name="Picture 1271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9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following.</w:t>
      </w:r>
    </w:p>
    <w:p w14:paraId="49C66261" w14:textId="77777777" w:rsidR="004D3823" w:rsidRDefault="00531DF4">
      <w:pPr>
        <w:numPr>
          <w:ilvl w:val="0"/>
          <w:numId w:val="1"/>
        </w:numPr>
        <w:ind w:firstLine="122"/>
      </w:pPr>
      <w:r>
        <w:t>North Goonyella SSE John Anger</w:t>
      </w:r>
    </w:p>
    <w:p w14:paraId="5AB8ED1E" w14:textId="77777777" w:rsidR="004D3823" w:rsidRDefault="00531DF4">
      <w:pPr>
        <w:numPr>
          <w:ilvl w:val="0"/>
          <w:numId w:val="1"/>
        </w:numPr>
        <w:spacing w:after="95" w:line="265" w:lineRule="auto"/>
        <w:ind w:firstLine="122"/>
      </w:pPr>
      <w:r>
        <w:rPr>
          <w:sz w:val="26"/>
        </w:rPr>
        <w:t>Technical Services Manager Steven Stook</w:t>
      </w:r>
    </w:p>
    <w:p w14:paraId="036D757D" w14:textId="77777777" w:rsidR="004D3823" w:rsidRDefault="00531DF4">
      <w:pPr>
        <w:numPr>
          <w:ilvl w:val="0"/>
          <w:numId w:val="1"/>
        </w:numPr>
        <w:spacing w:after="84"/>
        <w:ind w:firstLine="122"/>
      </w:pPr>
      <w:r>
        <w:t>Site Safety and Health Representative Peter Purdie</w:t>
      </w:r>
    </w:p>
    <w:p w14:paraId="1940EADE" w14:textId="77777777" w:rsidR="004D3823" w:rsidRDefault="00531DF4">
      <w:pPr>
        <w:numPr>
          <w:ilvl w:val="0"/>
          <w:numId w:val="1"/>
        </w:numPr>
        <w:spacing w:after="80"/>
        <w:ind w:firstLine="122"/>
      </w:pPr>
      <w:r>
        <w:t>Ventilation Officer Dennis Blac</w:t>
      </w:r>
      <w:r>
        <w:t>k</w:t>
      </w:r>
    </w:p>
    <w:p w14:paraId="6A7F11CD" w14:textId="77777777" w:rsidR="004D3823" w:rsidRDefault="00531DF4">
      <w:pPr>
        <w:numPr>
          <w:ilvl w:val="0"/>
          <w:numId w:val="1"/>
        </w:numPr>
        <w:spacing w:after="94"/>
        <w:ind w:firstLine="122"/>
      </w:pPr>
      <w:r>
        <w:t>Development Coordinator John Martin</w:t>
      </w:r>
    </w:p>
    <w:p w14:paraId="27DAC66F" w14:textId="77777777" w:rsidR="004D3823" w:rsidRDefault="00531DF4">
      <w:pPr>
        <w:numPr>
          <w:ilvl w:val="0"/>
          <w:numId w:val="1"/>
        </w:numPr>
        <w:spacing w:after="188"/>
        <w:ind w:firstLine="122"/>
      </w:pPr>
      <w:r>
        <w:t xml:space="preserve">Dial in — Peabody Operations Manager Peter Baker, Deputy Chief Inspector Shaun Dobson, Consultants Michael Brady, Darren Brady, Compliance Manager Neville </w:t>
      </w:r>
      <w:proofErr w:type="spellStart"/>
      <w:r>
        <w:t>Impson</w:t>
      </w:r>
      <w:proofErr w:type="spellEnd"/>
      <w:r>
        <w:t xml:space="preserve"> UMM Marek Romanski, SIMTARS Martin Watkinson </w:t>
      </w:r>
      <w:r>
        <w:rPr>
          <w:u w:val="single" w:color="000000"/>
        </w:rPr>
        <w:t>Last 24</w:t>
      </w:r>
    </w:p>
    <w:p w14:paraId="0EFB4574" w14:textId="77777777" w:rsidR="004D3823" w:rsidRDefault="00531DF4">
      <w:pPr>
        <w:spacing w:after="52"/>
        <w:ind w:left="46"/>
      </w:pPr>
      <w:r>
        <w:rPr>
          <w:noProof/>
        </w:rPr>
        <w:drawing>
          <wp:inline distT="0" distB="0" distL="0" distR="0" wp14:anchorId="40BC2342" wp14:editId="0CA16C6D">
            <wp:extent cx="6463" cy="3232"/>
            <wp:effectExtent l="0" t="0" r="0" b="0"/>
            <wp:docPr id="2126" name="Picture 2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6" name="Picture 21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Dr</w:t>
      </w:r>
      <w:r>
        <w:t xml:space="preserve">illing GN2697 (TG Chute road) to target depth, reaming out due to hole stability issues casing grouted and wait, then completed hole through (366m) 2230hrs </w:t>
      </w:r>
      <w:proofErr w:type="gramStart"/>
      <w:r>
        <w:t>21/9/18</w:t>
      </w:r>
      <w:proofErr w:type="gramEnd"/>
    </w:p>
    <w:p w14:paraId="58A41E4C" w14:textId="77777777" w:rsidR="004D3823" w:rsidRDefault="00531DF4">
      <w:pPr>
        <w:spacing w:after="59"/>
        <w:ind w:left="46"/>
      </w:pPr>
      <w:r>
        <w:t>Drilling GN2698 (Between GN2693 and GN2470) - hole progressed to casing depth at 224m slow p</w:t>
      </w:r>
      <w:r>
        <w:t xml:space="preserve">enetration rate due to fracturing, cased and pressure </w:t>
      </w:r>
      <w:proofErr w:type="gramStart"/>
      <w:r>
        <w:t>grouted</w:t>
      </w:r>
      <w:proofErr w:type="gramEnd"/>
    </w:p>
    <w:p w14:paraId="2B2B3B6D" w14:textId="77777777" w:rsidR="004D3823" w:rsidRDefault="00531DF4">
      <w:pPr>
        <w:ind w:left="46" w:right="4204"/>
      </w:pPr>
      <w:r>
        <w:t xml:space="preserve">2698 crew put on 2699 until grout cured in 2698 3rd Narrabri unit ETA on site Tuesday next </w:t>
      </w:r>
      <w:proofErr w:type="gramStart"/>
      <w:r>
        <w:t>week</w:t>
      </w:r>
      <w:proofErr w:type="gramEnd"/>
    </w:p>
    <w:p w14:paraId="34939B11" w14:textId="77777777" w:rsidR="004D3823" w:rsidRDefault="00531DF4">
      <w:pPr>
        <w:spacing w:after="623" w:line="265" w:lineRule="auto"/>
        <w:ind w:left="36" w:right="20" w:hanging="10"/>
        <w:jc w:val="left"/>
      </w:pPr>
      <w:r>
        <w:rPr>
          <w:sz w:val="26"/>
        </w:rPr>
        <w:lastRenderedPageBreak/>
        <w:t>QMRS Foam assist with GN2697 hole through</w:t>
      </w:r>
      <w:r>
        <w:rPr>
          <w:noProof/>
        </w:rPr>
        <w:drawing>
          <wp:inline distT="0" distB="0" distL="0" distR="0" wp14:anchorId="27C95615" wp14:editId="71F83E37">
            <wp:extent cx="3232" cy="6464"/>
            <wp:effectExtent l="0" t="0" r="0" b="0"/>
            <wp:docPr id="2127" name="Picture 2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7" name="Picture 21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0A62E" w14:textId="77777777" w:rsidR="004D3823" w:rsidRDefault="00531DF4">
      <w:pPr>
        <w:spacing w:after="0" w:line="259" w:lineRule="auto"/>
        <w:ind w:left="0" w:right="524" w:firstLine="0"/>
        <w:jc w:val="right"/>
      </w:pPr>
      <w:r>
        <w:rPr>
          <w:sz w:val="86"/>
        </w:rPr>
        <w:t xml:space="preserve">I </w:t>
      </w:r>
    </w:p>
    <w:p w14:paraId="1CE405BC" w14:textId="77777777" w:rsidR="004D3823" w:rsidRDefault="00531DF4">
      <w:pPr>
        <w:spacing w:after="60"/>
        <w:ind w:left="46"/>
      </w:pPr>
      <w:r>
        <w:t xml:space="preserve">Floxal 6 flow reduction found to be due to compressor issues - getting new compressors delivered by Tuesday next </w:t>
      </w:r>
      <w:proofErr w:type="gramStart"/>
      <w:r>
        <w:t>week</w:t>
      </w:r>
      <w:proofErr w:type="gramEnd"/>
    </w:p>
    <w:p w14:paraId="72BCBAA9" w14:textId="77777777" w:rsidR="004D3823" w:rsidRDefault="00531DF4">
      <w:pPr>
        <w:spacing w:after="48" w:line="265" w:lineRule="auto"/>
        <w:ind w:left="36" w:right="20" w:hanging="10"/>
        <w:jc w:val="left"/>
      </w:pPr>
      <w:r>
        <w:rPr>
          <w:sz w:val="26"/>
        </w:rPr>
        <w:t>Liquid N2 increased average rate of 348 1/</w:t>
      </w:r>
      <w:proofErr w:type="gramStart"/>
      <w:r>
        <w:rPr>
          <w:sz w:val="26"/>
        </w:rPr>
        <w:t>s</w:t>
      </w:r>
      <w:proofErr w:type="gramEnd"/>
    </w:p>
    <w:p w14:paraId="4D51DC88" w14:textId="77777777" w:rsidR="004D3823" w:rsidRDefault="00531DF4">
      <w:pPr>
        <w:ind w:left="46"/>
      </w:pPr>
      <w:r>
        <w:t>Overall increase of 180 IIS</w:t>
      </w:r>
    </w:p>
    <w:p w14:paraId="5886200D" w14:textId="77777777" w:rsidR="004D3823" w:rsidRDefault="00531DF4">
      <w:pPr>
        <w:spacing w:after="0" w:line="259" w:lineRule="auto"/>
        <w:ind w:left="5059" w:firstLine="0"/>
        <w:jc w:val="left"/>
      </w:pPr>
      <w:r>
        <w:rPr>
          <w:noProof/>
        </w:rPr>
        <w:drawing>
          <wp:inline distT="0" distB="0" distL="0" distR="0" wp14:anchorId="5B77B4F9" wp14:editId="1A668B00">
            <wp:extent cx="6463" cy="12927"/>
            <wp:effectExtent l="0" t="0" r="0" b="0"/>
            <wp:docPr id="4378" name="Picture 43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78" name="Picture 43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12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879FA" w14:textId="77777777" w:rsidR="004D3823" w:rsidRDefault="00531DF4">
      <w:pPr>
        <w:spacing w:after="48" w:line="265" w:lineRule="auto"/>
        <w:ind w:left="36" w:right="4082" w:hanging="10"/>
        <w:jc w:val="left"/>
      </w:pPr>
      <w:r>
        <w:rPr>
          <w:sz w:val="26"/>
        </w:rPr>
        <w:t xml:space="preserve">Liquid N2 increased from 157 1/s to 348 1/s </w:t>
      </w:r>
      <w:proofErr w:type="gramStart"/>
      <w:r>
        <w:rPr>
          <w:sz w:val="26"/>
        </w:rPr>
        <w:t>average</w:t>
      </w:r>
      <w:proofErr w:type="gramEnd"/>
    </w:p>
    <w:p w14:paraId="0ABC2AD7" w14:textId="77777777" w:rsidR="004D3823" w:rsidRDefault="00531DF4">
      <w:pPr>
        <w:spacing w:after="48" w:line="265" w:lineRule="auto"/>
        <w:ind w:left="36" w:right="20" w:hanging="10"/>
        <w:jc w:val="left"/>
      </w:pPr>
      <w:r>
        <w:rPr>
          <w:sz w:val="26"/>
        </w:rPr>
        <w:t>Floxal 6 re-</w:t>
      </w:r>
      <w:r>
        <w:rPr>
          <w:sz w:val="26"/>
        </w:rPr>
        <w:t>tasked to GN1991 from GN2690</w:t>
      </w:r>
    </w:p>
    <w:p w14:paraId="6FC4245D" w14:textId="77777777" w:rsidR="004D3823" w:rsidRDefault="00531DF4">
      <w:pPr>
        <w:spacing w:after="61"/>
        <w:ind w:left="46"/>
      </w:pPr>
      <w:r>
        <w:t xml:space="preserve">RA - review Wilsons remote sealing, identified identical hazards and will require re-ranking using Peabody </w:t>
      </w:r>
      <w:proofErr w:type="gramStart"/>
      <w:r>
        <w:t>matrix</w:t>
      </w:r>
      <w:proofErr w:type="gramEnd"/>
    </w:p>
    <w:p w14:paraId="52B3EEB5" w14:textId="77777777" w:rsidR="004D3823" w:rsidRDefault="00531DF4">
      <w:pPr>
        <w:spacing w:after="70"/>
        <w:ind w:left="46"/>
      </w:pPr>
      <w:r>
        <w:t xml:space="preserve">RE-ENTRY </w:t>
      </w:r>
      <w:proofErr w:type="gramStart"/>
      <w:r>
        <w:t>PLAN :</w:t>
      </w:r>
      <w:proofErr w:type="gramEnd"/>
      <w:r>
        <w:t xml:space="preserve"> RA- chute road sealing (to allow underground entry to extract LW9N supports)</w:t>
      </w:r>
    </w:p>
    <w:p w14:paraId="5BD97762" w14:textId="77777777" w:rsidR="004D3823" w:rsidRDefault="00531DF4">
      <w:pPr>
        <w:spacing w:after="45"/>
        <w:ind w:left="46"/>
      </w:pPr>
      <w:r>
        <w:t>Shut off bleeder fan</w:t>
      </w:r>
      <w:r>
        <w:t xml:space="preserve"> at 1 1:30am</w:t>
      </w:r>
    </w:p>
    <w:p w14:paraId="40C5DE71" w14:textId="77777777" w:rsidR="004D3823" w:rsidRDefault="00531DF4">
      <w:pPr>
        <w:ind w:left="46"/>
      </w:pPr>
      <w:r>
        <w:t xml:space="preserve">RE-ENTRY </w:t>
      </w:r>
      <w:proofErr w:type="gramStart"/>
      <w:r>
        <w:t>PLAN :</w:t>
      </w:r>
      <w:proofErr w:type="gramEnd"/>
      <w:r>
        <w:t xml:space="preserve"> Identified location of 2nd borehole for tube bundle monitoring point in TG</w:t>
      </w:r>
    </w:p>
    <w:p w14:paraId="01F367DA" w14:textId="77777777" w:rsidR="004D3823" w:rsidRDefault="00531DF4">
      <w:pPr>
        <w:spacing w:after="324"/>
        <w:ind w:left="46"/>
      </w:pPr>
      <w:r>
        <w:t xml:space="preserve">Chute road and completed site </w:t>
      </w:r>
      <w:proofErr w:type="gramStart"/>
      <w:r>
        <w:t>preparation</w:t>
      </w:r>
      <w:proofErr w:type="gramEnd"/>
    </w:p>
    <w:p w14:paraId="71E3BEA7" w14:textId="77777777" w:rsidR="004D3823" w:rsidRDefault="00531DF4">
      <w:pPr>
        <w:pStyle w:val="Heading2"/>
      </w:pPr>
      <w:r>
        <w:t>Next 24</w:t>
      </w:r>
    </w:p>
    <w:p w14:paraId="4916102B" w14:textId="77777777" w:rsidR="004D3823" w:rsidRDefault="00531DF4">
      <w:pPr>
        <w:ind w:left="46"/>
      </w:pPr>
      <w:r>
        <w:t xml:space="preserve">Sourcing tube bundle to run from TB hut to </w:t>
      </w:r>
      <w:proofErr w:type="gramStart"/>
      <w:r>
        <w:t>GN2700</w:t>
      </w:r>
      <w:proofErr w:type="gramEnd"/>
    </w:p>
    <w:p w14:paraId="6E7729FE" w14:textId="77777777" w:rsidR="004D3823" w:rsidRDefault="00531DF4">
      <w:pPr>
        <w:spacing w:after="61"/>
        <w:ind w:left="46"/>
      </w:pPr>
      <w:r>
        <w:t>Source additional supply of Floxal to be used in oth</w:t>
      </w:r>
      <w:r>
        <w:t xml:space="preserve">er holes than can come on </w:t>
      </w:r>
      <w:proofErr w:type="gramStart"/>
      <w:r>
        <w:t>line</w:t>
      </w:r>
      <w:proofErr w:type="gramEnd"/>
    </w:p>
    <w:p w14:paraId="6C92F673" w14:textId="77777777" w:rsidR="004D3823" w:rsidRDefault="00531DF4">
      <w:pPr>
        <w:ind w:left="46"/>
      </w:pPr>
      <w:r>
        <w:t xml:space="preserve">Continue DS drilling GN2699 - install </w:t>
      </w:r>
      <w:proofErr w:type="gramStart"/>
      <w:r>
        <w:t>casing</w:t>
      </w:r>
      <w:proofErr w:type="gramEnd"/>
    </w:p>
    <w:p w14:paraId="5D05794F" w14:textId="77777777" w:rsidR="004D3823" w:rsidRDefault="00531DF4">
      <w:pPr>
        <w:spacing w:after="58"/>
        <w:ind w:left="46"/>
      </w:pPr>
      <w:r>
        <w:t xml:space="preserve">Continue drilling GN2698 to completion and install slider casing to </w:t>
      </w:r>
      <w:proofErr w:type="gramStart"/>
      <w:r>
        <w:t>depth</w:t>
      </w:r>
      <w:proofErr w:type="gramEnd"/>
    </w:p>
    <w:p w14:paraId="360BBC51" w14:textId="77777777" w:rsidR="004D3823" w:rsidRDefault="00531DF4">
      <w:pPr>
        <w:spacing w:after="39"/>
        <w:ind w:left="46"/>
      </w:pPr>
      <w:r>
        <w:t>Drilling GN2700</w:t>
      </w:r>
    </w:p>
    <w:p w14:paraId="7B44497C" w14:textId="77777777" w:rsidR="004D3823" w:rsidRDefault="00531DF4">
      <w:pPr>
        <w:spacing w:after="48" w:line="265" w:lineRule="auto"/>
        <w:ind w:left="36" w:right="20" w:hanging="10"/>
        <w:jc w:val="left"/>
      </w:pPr>
      <w:r>
        <w:rPr>
          <w:sz w:val="26"/>
        </w:rPr>
        <w:t xml:space="preserve">Take Bag samples </w:t>
      </w:r>
      <w:proofErr w:type="spellStart"/>
      <w:r>
        <w:rPr>
          <w:sz w:val="26"/>
        </w:rPr>
        <w:t>shiftly</w:t>
      </w:r>
      <w:proofErr w:type="spellEnd"/>
      <w:r>
        <w:rPr>
          <w:sz w:val="26"/>
        </w:rPr>
        <w:t xml:space="preserve"> from TB#14 (Maingate Chute Roadway) and TB#38 (E Frame, Goaf side of Frame)</w:t>
      </w:r>
      <w:r>
        <w:rPr>
          <w:noProof/>
        </w:rPr>
        <w:drawing>
          <wp:inline distT="0" distB="0" distL="0" distR="0" wp14:anchorId="6AEF50F8" wp14:editId="7A022F5A">
            <wp:extent cx="22622" cy="12928"/>
            <wp:effectExtent l="0" t="0" r="0" b="0"/>
            <wp:docPr id="12719" name="Picture 12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9" name="Picture 1271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622" cy="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C426FE" w14:textId="77777777" w:rsidR="004D3823" w:rsidRDefault="00531DF4">
      <w:pPr>
        <w:spacing w:after="75"/>
        <w:ind w:left="46" w:right="132"/>
      </w:pPr>
      <w:r>
        <w:t xml:space="preserve">Test run on the surface, running </w:t>
      </w:r>
      <w:proofErr w:type="gramStart"/>
      <w:r>
        <w:t>hoses</w:t>
      </w:r>
      <w:proofErr w:type="gramEnd"/>
      <w:r>
        <w:t xml:space="preserve"> and clamping around rods for GN2697 to understand timing of activity to sync in with completion of GN2700 hole thro</w:t>
      </w:r>
      <w:r>
        <w:t>ugh and tube bundle installation.</w:t>
      </w:r>
    </w:p>
    <w:p w14:paraId="51188503" w14:textId="77777777" w:rsidR="004D3823" w:rsidRDefault="00531DF4">
      <w:pPr>
        <w:ind w:left="46"/>
      </w:pPr>
      <w:r>
        <w:t xml:space="preserve">RE-ENTRY </w:t>
      </w:r>
      <w:proofErr w:type="gramStart"/>
      <w:r>
        <w:t>PLAN :</w:t>
      </w:r>
      <w:proofErr w:type="gramEnd"/>
      <w:r>
        <w:t xml:space="preserve"> stress test the chute road sealing, RA</w:t>
      </w:r>
    </w:p>
    <w:p w14:paraId="34B39A69" w14:textId="77777777" w:rsidR="004D3823" w:rsidRDefault="00531DF4">
      <w:pPr>
        <w:spacing w:after="61"/>
        <w:ind w:left="46"/>
      </w:pPr>
      <w:r>
        <w:t xml:space="preserve">Re-calibrate the tube </w:t>
      </w:r>
      <w:proofErr w:type="gramStart"/>
      <w:r>
        <w:t>bundle</w:t>
      </w:r>
      <w:proofErr w:type="gramEnd"/>
    </w:p>
    <w:p w14:paraId="69376B35" w14:textId="77777777" w:rsidR="004D3823" w:rsidRDefault="00531DF4">
      <w:pPr>
        <w:spacing w:after="73"/>
        <w:ind w:left="46"/>
      </w:pPr>
      <w:r>
        <w:t xml:space="preserve">Prepare tube bundle route, includes using Vacuum truck to excavate out from underneath 2 cattle </w:t>
      </w:r>
      <w:proofErr w:type="gramStart"/>
      <w:r>
        <w:t>grids</w:t>
      </w:r>
      <w:proofErr w:type="gramEnd"/>
    </w:p>
    <w:p w14:paraId="0E18D1E2" w14:textId="77777777" w:rsidR="004D3823" w:rsidRDefault="00531DF4">
      <w:pPr>
        <w:spacing w:after="44"/>
        <w:ind w:left="46"/>
      </w:pPr>
      <w:r>
        <w:t>Floxal Strategy</w:t>
      </w:r>
    </w:p>
    <w:p w14:paraId="693887B7" w14:textId="77777777" w:rsidR="004D3823" w:rsidRDefault="00531DF4">
      <w:pPr>
        <w:spacing w:after="31"/>
        <w:ind w:left="46"/>
      </w:pPr>
      <w:r>
        <w:t>Tuesday 25th September - Floxal maintenance planned</w:t>
      </w:r>
      <w:r>
        <w:rPr>
          <w:noProof/>
        </w:rPr>
        <w:drawing>
          <wp:inline distT="0" distB="0" distL="0" distR="0" wp14:anchorId="40DF9A3D" wp14:editId="5D2CEA74">
            <wp:extent cx="3232" cy="3232"/>
            <wp:effectExtent l="0" t="0" r="0" b="0"/>
            <wp:docPr id="4381" name="Picture 4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1" name="Picture 438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B75A9" w14:textId="77777777" w:rsidR="004D3823" w:rsidRDefault="00531DF4">
      <w:pPr>
        <w:spacing w:after="306"/>
        <w:ind w:left="46"/>
      </w:pPr>
      <w:r>
        <w:lastRenderedPageBreak/>
        <w:t>Identify compatibility of Millennium Floxal compressors with Narrabri AFTECH unit (Floxal 6)</w:t>
      </w:r>
    </w:p>
    <w:p w14:paraId="0A9DA9BE" w14:textId="77777777" w:rsidR="004D3823" w:rsidRDefault="00531DF4">
      <w:pPr>
        <w:pStyle w:val="Heading3"/>
      </w:pPr>
      <w:proofErr w:type="spellStart"/>
      <w:r>
        <w:t>Meetinq</w:t>
      </w:r>
      <w:proofErr w:type="spellEnd"/>
      <w:r>
        <w:t xml:space="preserve"> Notes</w:t>
      </w:r>
    </w:p>
    <w:p w14:paraId="5D858D3A" w14:textId="77777777" w:rsidR="004D3823" w:rsidRDefault="00531DF4">
      <w:pPr>
        <w:spacing w:after="1062"/>
        <w:ind w:left="46"/>
      </w:pPr>
      <w:r>
        <w:t>Acknowledge injection of gas @ GN1991 is preventing the gas in the goaf presenting to TB24 impac</w:t>
      </w:r>
      <w:r>
        <w:t xml:space="preserve">ting effective monitoring at the TG seal. Expected products of combustion reporting to TB29 and </w:t>
      </w:r>
      <w:proofErr w:type="gramStart"/>
      <w:r>
        <w:t>TB28</w:t>
      </w:r>
      <w:proofErr w:type="gramEnd"/>
    </w:p>
    <w:p w14:paraId="6787D48B" w14:textId="77777777" w:rsidR="004D3823" w:rsidRDefault="00531DF4">
      <w:pPr>
        <w:spacing w:after="0" w:line="259" w:lineRule="auto"/>
        <w:ind w:left="0" w:right="463" w:firstLine="0"/>
        <w:jc w:val="right"/>
      </w:pPr>
      <w:r>
        <w:rPr>
          <w:sz w:val="20"/>
        </w:rPr>
        <w:t xml:space="preserve">2 </w:t>
      </w:r>
    </w:p>
    <w:p w14:paraId="60F1B69B" w14:textId="77777777" w:rsidR="004D3823" w:rsidRDefault="00531DF4">
      <w:pPr>
        <w:spacing w:after="65"/>
        <w:ind w:left="46"/>
      </w:pPr>
      <w:r>
        <w:t>Wilsons and drillers will conduct trial run of implementing process for plan B at a Borehole in south mains area.</w:t>
      </w:r>
      <w:r>
        <w:rPr>
          <w:noProof/>
        </w:rPr>
        <w:drawing>
          <wp:inline distT="0" distB="0" distL="0" distR="0" wp14:anchorId="1F2B4B3F" wp14:editId="5AF260F7">
            <wp:extent cx="3232" cy="3232"/>
            <wp:effectExtent l="0" t="0" r="0" b="0"/>
            <wp:docPr id="6482" name="Picture 6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2" name="Picture 648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F7378B" w14:textId="77777777" w:rsidR="004D3823" w:rsidRDefault="00531DF4">
      <w:pPr>
        <w:spacing w:after="61"/>
        <w:ind w:left="46"/>
      </w:pPr>
      <w:r>
        <w:t>Tuesday 25/9/18 N2 units to have maintenance conducted sequentially</w:t>
      </w:r>
      <w:r>
        <w:rPr>
          <w:noProof/>
        </w:rPr>
        <w:drawing>
          <wp:inline distT="0" distB="0" distL="0" distR="0" wp14:anchorId="1F7EBC99" wp14:editId="5C15FD64">
            <wp:extent cx="3232" cy="3232"/>
            <wp:effectExtent l="0" t="0" r="0" b="0"/>
            <wp:docPr id="6483" name="Picture 6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3" name="Picture 6483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32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AA42B" w14:textId="77777777" w:rsidR="004D3823" w:rsidRDefault="00531DF4">
      <w:pPr>
        <w:spacing w:after="71"/>
        <w:ind w:left="46" w:right="331"/>
      </w:pPr>
      <w:r>
        <w:t>Plan for re-entry and Plan B will be delivered to DNRME 23/9/18 with lis</w:t>
      </w:r>
      <w:r>
        <w:t xml:space="preserve">t of associated </w:t>
      </w:r>
      <w:proofErr w:type="gramStart"/>
      <w:r>
        <w:t>RA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52A6CDED" wp14:editId="6436ECD0">
            <wp:extent cx="19390" cy="38781"/>
            <wp:effectExtent l="0" t="0" r="0" b="0"/>
            <wp:docPr id="6484" name="Picture 6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4" name="Picture 648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390" cy="3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Requested that plan and associated RA presented to Inspectors Keith Brennan and Geoff Nugent 22/2/2018.</w:t>
      </w:r>
    </w:p>
    <w:p w14:paraId="4F18C2D6" w14:textId="77777777" w:rsidR="004D3823" w:rsidRDefault="00531DF4">
      <w:pPr>
        <w:spacing w:after="36"/>
        <w:ind w:left="46"/>
      </w:pPr>
      <w:r>
        <w:t xml:space="preserve">John Anger (SSE) provided both draft power point presentation for re-entry plan and draft re-entry Risk </w:t>
      </w:r>
      <w:proofErr w:type="gramStart"/>
      <w:r>
        <w:t>Assessment</w:t>
      </w:r>
      <w:proofErr w:type="gramEnd"/>
    </w:p>
    <w:p w14:paraId="03F774F2" w14:textId="77777777" w:rsidR="004D3823" w:rsidRDefault="00531DF4">
      <w:pPr>
        <w:spacing w:after="427"/>
        <w:ind w:left="46"/>
      </w:pPr>
      <w:r>
        <w:t>RA for applicatio</w:t>
      </w:r>
      <w:r>
        <w:t xml:space="preserve">n of </w:t>
      </w:r>
      <w:proofErr w:type="spellStart"/>
      <w:r>
        <w:t>Rocsil</w:t>
      </w:r>
      <w:proofErr w:type="spellEnd"/>
      <w:r>
        <w:t xml:space="preserve"> and sealing TG chute road SSE to confirm it was conducted with NGC Personal under NGC SHMS and RM process,</w:t>
      </w:r>
    </w:p>
    <w:p w14:paraId="474E1C4A" w14:textId="77777777" w:rsidR="004D3823" w:rsidRDefault="00531DF4">
      <w:pPr>
        <w:pStyle w:val="Heading2"/>
        <w:spacing w:after="144"/>
        <w:ind w:left="51"/>
      </w:pPr>
      <w:r>
        <w:rPr>
          <w:sz w:val="28"/>
        </w:rPr>
        <w:t>Gas Review</w:t>
      </w:r>
    </w:p>
    <w:p w14:paraId="1AA01B73" w14:textId="77777777" w:rsidR="004D3823" w:rsidRDefault="00531DF4">
      <w:pPr>
        <w:spacing w:after="64"/>
        <w:ind w:left="46"/>
      </w:pPr>
      <w:r>
        <w:t xml:space="preserve">Barometric pressure abnormally high and expecting high pressure over next 3 </w:t>
      </w:r>
      <w:proofErr w:type="gramStart"/>
      <w:r>
        <w:t>days</w:t>
      </w:r>
      <w:proofErr w:type="gramEnd"/>
    </w:p>
    <w:p w14:paraId="0B49D915" w14:textId="77777777" w:rsidR="004D3823" w:rsidRDefault="00531DF4">
      <w:pPr>
        <w:ind w:left="46"/>
      </w:pPr>
      <w:r>
        <w:t>TB29 gas levels remain stable, CO trending wi</w:t>
      </w:r>
      <w:r>
        <w:t xml:space="preserve">th </w:t>
      </w:r>
      <w:proofErr w:type="gramStart"/>
      <w:r>
        <w:t>Diurnal</w:t>
      </w:r>
      <w:proofErr w:type="gramEnd"/>
    </w:p>
    <w:p w14:paraId="2B19A6FD" w14:textId="77777777" w:rsidR="004D3823" w:rsidRDefault="00531DF4">
      <w:pPr>
        <w:spacing w:after="48" w:line="265" w:lineRule="auto"/>
        <w:ind w:left="36" w:right="20" w:hanging="10"/>
        <w:jc w:val="left"/>
      </w:pPr>
      <w:r>
        <w:rPr>
          <w:sz w:val="26"/>
        </w:rPr>
        <w:t>TB28 Stable</w:t>
      </w:r>
    </w:p>
    <w:p w14:paraId="1227FFC5" w14:textId="77777777" w:rsidR="004D3823" w:rsidRDefault="00531DF4">
      <w:pPr>
        <w:spacing w:after="417"/>
        <w:ind w:left="46"/>
      </w:pPr>
      <w:r>
        <w:t>Starting to see increase of CO at TB14 MG Chute (CO 49.6ppm 0800hrs) and TB38 E frame goaf side (CO 17 ppm 0800hrs).</w:t>
      </w:r>
    </w:p>
    <w:p w14:paraId="238BE376" w14:textId="77777777" w:rsidR="004D3823" w:rsidRDefault="00531DF4">
      <w:pPr>
        <w:spacing w:after="36"/>
        <w:ind w:left="46"/>
      </w:pPr>
      <w:r>
        <w:t xml:space="preserve">Have not seen any major impact to gas composition since turning Bleeder fan </w:t>
      </w:r>
      <w:proofErr w:type="gramStart"/>
      <w:r>
        <w:t>off</w:t>
      </w:r>
      <w:proofErr w:type="gramEnd"/>
    </w:p>
    <w:p w14:paraId="48A1F6DD" w14:textId="77777777" w:rsidR="004D3823" w:rsidRDefault="00531DF4">
      <w:pPr>
        <w:spacing w:after="92" w:line="216" w:lineRule="auto"/>
        <w:ind w:left="36" w:right="10" w:firstLine="20"/>
        <w:jc w:val="left"/>
      </w:pPr>
      <w:r>
        <w:t>N2 foam used to hole through into TG</w:t>
      </w:r>
      <w:r>
        <w:t xml:space="preserve"> Chute (100m3), could impact TB29 from sucking foam. </w:t>
      </w:r>
      <w:proofErr w:type="gramStart"/>
      <w:r>
        <w:t>Additionally</w:t>
      </w:r>
      <w:proofErr w:type="gramEnd"/>
      <w:r>
        <w:t xml:space="preserve"> Foam may increase resistance in TG Chute contributing to CO presenting to TB14 &amp;TB38 including PD change from turning bleeder fan off.</w:t>
      </w:r>
    </w:p>
    <w:p w14:paraId="088863B1" w14:textId="77777777" w:rsidR="004D3823" w:rsidRDefault="00531DF4">
      <w:pPr>
        <w:spacing w:after="54"/>
        <w:ind w:left="46"/>
      </w:pPr>
      <w:r>
        <w:t>Darren Brady recommended a person to physically monitor</w:t>
      </w:r>
      <w:r>
        <w:t xml:space="preserve"> TB29 in </w:t>
      </w:r>
      <w:proofErr w:type="gramStart"/>
      <w:r>
        <w:t>TB</w:t>
      </w:r>
      <w:proofErr w:type="gramEnd"/>
      <w:r>
        <w:t xml:space="preserve"> so analyser is not impacted by foam.</w:t>
      </w:r>
    </w:p>
    <w:p w14:paraId="736523E3" w14:textId="77777777" w:rsidR="004D3823" w:rsidRDefault="00531DF4">
      <w:pPr>
        <w:ind w:left="46" w:right="468"/>
      </w:pPr>
      <w:r>
        <w:t xml:space="preserve">N2 injecting at 1991 (4431/s) may not be effective and following air path around </w:t>
      </w:r>
      <w:proofErr w:type="gramStart"/>
      <w:r>
        <w:t>TG to TG</w:t>
      </w:r>
      <w:proofErr w:type="gramEnd"/>
      <w:r>
        <w:t xml:space="preserve"> chute and not influencing generation of CO. NGC are considering moving N2 volume to another location and apply lower volume at GN1991 </w:t>
      </w:r>
      <w:proofErr w:type="spellStart"/>
      <w:r>
        <w:t>i</w:t>
      </w:r>
      <w:proofErr w:type="spellEnd"/>
      <w:r>
        <w:rPr>
          <w:noProof/>
        </w:rPr>
        <w:drawing>
          <wp:inline distT="0" distB="0" distL="0" distR="0" wp14:anchorId="2A27E119" wp14:editId="56F34762">
            <wp:extent cx="6463" cy="3232"/>
            <wp:effectExtent l="0" t="0" r="0" b="0"/>
            <wp:docPr id="6485" name="Picture 64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85" name="Picture 648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63" cy="3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EAA36" w14:textId="77777777" w:rsidR="004D3823" w:rsidRDefault="00531DF4">
      <w:pPr>
        <w:spacing w:after="245"/>
        <w:ind w:left="46"/>
      </w:pPr>
      <w:r>
        <w:t>Current total volume of N2 be</w:t>
      </w:r>
      <w:r>
        <w:t>ing applied 2.1 m3/</w:t>
      </w:r>
      <w:proofErr w:type="gramStart"/>
      <w:r>
        <w:t>s</w:t>
      </w:r>
      <w:proofErr w:type="gramEnd"/>
    </w:p>
    <w:p w14:paraId="55749F13" w14:textId="77777777" w:rsidR="004D3823" w:rsidRDefault="00531DF4">
      <w:pPr>
        <w:spacing w:after="13" w:line="259" w:lineRule="auto"/>
        <w:ind w:left="-31" w:firstLine="0"/>
        <w:jc w:val="left"/>
      </w:pPr>
      <w:r>
        <w:rPr>
          <w:noProof/>
        </w:rPr>
        <w:drawing>
          <wp:inline distT="0" distB="0" distL="0" distR="0" wp14:anchorId="4E06697F" wp14:editId="670A0061">
            <wp:extent cx="1916375" cy="287627"/>
            <wp:effectExtent l="0" t="0" r="0" b="0"/>
            <wp:docPr id="6654" name="Picture 66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4" name="Picture 665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16375" cy="287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078459" w14:textId="77777777" w:rsidR="004D3823" w:rsidRDefault="00531DF4">
      <w:pPr>
        <w:tabs>
          <w:tab w:val="center" w:pos="3819"/>
        </w:tabs>
        <w:spacing w:after="0" w:line="265" w:lineRule="auto"/>
        <w:ind w:left="0" w:firstLine="0"/>
        <w:jc w:val="left"/>
      </w:pPr>
      <w:r>
        <w:rPr>
          <w:sz w:val="26"/>
        </w:rPr>
        <w:lastRenderedPageBreak/>
        <w:t>Keith Brennan</w:t>
      </w:r>
      <w:r>
        <w:rPr>
          <w:sz w:val="26"/>
        </w:rPr>
        <w:tab/>
        <w:t xml:space="preserve">Geoff </w:t>
      </w:r>
      <w:proofErr w:type="spellStart"/>
      <w:r>
        <w:rPr>
          <w:sz w:val="26"/>
        </w:rPr>
        <w:t>ugent</w:t>
      </w:r>
      <w:proofErr w:type="spellEnd"/>
    </w:p>
    <w:p w14:paraId="196D527B" w14:textId="77777777" w:rsidR="004D3823" w:rsidRDefault="00531DF4">
      <w:pPr>
        <w:tabs>
          <w:tab w:val="center" w:pos="3998"/>
        </w:tabs>
        <w:spacing w:after="3530"/>
        <w:ind w:left="0" w:firstLine="0"/>
        <w:jc w:val="left"/>
      </w:pPr>
      <w:r>
        <w:t>Inspector of Mines</w:t>
      </w:r>
      <w:r>
        <w:tab/>
        <w:t>Inspector of Mines</w:t>
      </w:r>
    </w:p>
    <w:p w14:paraId="1201EDD0" w14:textId="77777777" w:rsidR="004D3823" w:rsidRDefault="00531DF4">
      <w:pPr>
        <w:spacing w:after="0" w:line="259" w:lineRule="auto"/>
        <w:ind w:left="0" w:right="438" w:firstLine="0"/>
        <w:jc w:val="right"/>
      </w:pPr>
      <w:r>
        <w:rPr>
          <w:sz w:val="22"/>
        </w:rPr>
        <w:t xml:space="preserve">3 </w:t>
      </w:r>
    </w:p>
    <w:sectPr w:rsidR="004D3823">
      <w:type w:val="continuous"/>
      <w:pgSz w:w="11909" w:h="16841"/>
      <w:pgMar w:top="1628" w:right="1252" w:bottom="580" w:left="150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23A02E" w14:textId="77777777" w:rsidR="00531DF4" w:rsidRDefault="00531DF4">
      <w:pPr>
        <w:spacing w:after="0" w:line="240" w:lineRule="auto"/>
      </w:pPr>
      <w:r>
        <w:separator/>
      </w:r>
    </w:p>
  </w:endnote>
  <w:endnote w:type="continuationSeparator" w:id="0">
    <w:p w14:paraId="0880BA10" w14:textId="77777777" w:rsidR="00531DF4" w:rsidRDefault="0053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E4CCD" w14:textId="77777777" w:rsidR="004D3823" w:rsidRDefault="00531DF4">
    <w:pPr>
      <w:tabs>
        <w:tab w:val="center" w:pos="3664"/>
        <w:tab w:val="right" w:pos="8158"/>
      </w:tabs>
      <w:spacing w:after="0" w:line="259" w:lineRule="auto"/>
      <w:ind w:left="-814" w:right="-611" w:firstLine="0"/>
      <w:jc w:val="left"/>
    </w:pPr>
    <w:r>
      <w:rPr>
        <w:sz w:val="18"/>
      </w:rPr>
      <w:t>22/09/2018</w:t>
    </w:r>
    <w:r>
      <w:rPr>
        <w:sz w:val="18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rPr>
        <w:sz w:val="18"/>
      </w:rPr>
      <w:t xml:space="preserve">of </w:t>
    </w:r>
    <w:r>
      <w:rPr>
        <w:sz w:val="22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DA6F0" w14:textId="77777777" w:rsidR="004D3823" w:rsidRDefault="00531DF4">
    <w:pPr>
      <w:tabs>
        <w:tab w:val="center" w:pos="3664"/>
        <w:tab w:val="right" w:pos="8158"/>
      </w:tabs>
      <w:spacing w:after="0" w:line="259" w:lineRule="auto"/>
      <w:ind w:left="-814" w:right="-611" w:firstLine="0"/>
      <w:jc w:val="left"/>
    </w:pPr>
    <w:r>
      <w:rPr>
        <w:sz w:val="18"/>
      </w:rPr>
      <w:t>22/09/2018</w:t>
    </w:r>
    <w:r>
      <w:rPr>
        <w:sz w:val="18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rPr>
        <w:sz w:val="18"/>
      </w:rPr>
      <w:t xml:space="preserve">of </w:t>
    </w:r>
    <w:r>
      <w:rPr>
        <w:sz w:val="22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44FB7" w14:textId="77777777" w:rsidR="004D3823" w:rsidRDefault="00531DF4">
    <w:pPr>
      <w:tabs>
        <w:tab w:val="center" w:pos="3664"/>
        <w:tab w:val="right" w:pos="8158"/>
      </w:tabs>
      <w:spacing w:after="0" w:line="259" w:lineRule="auto"/>
      <w:ind w:left="-814" w:right="-611" w:firstLine="0"/>
      <w:jc w:val="left"/>
    </w:pPr>
    <w:r>
      <w:rPr>
        <w:sz w:val="18"/>
      </w:rPr>
      <w:t>22/09/2018</w:t>
    </w:r>
    <w:r>
      <w:rPr>
        <w:sz w:val="18"/>
      </w:rPr>
      <w:tab/>
    </w:r>
    <w:r>
      <w:rPr>
        <w:sz w:val="18"/>
      </w:rPr>
      <w:t>Mine Record Entry</w:t>
    </w:r>
    <w:r>
      <w:rPr>
        <w:sz w:val="18"/>
      </w:rPr>
      <w:tab/>
    </w:r>
    <w:r>
      <w:rPr>
        <w:sz w:val="20"/>
      </w:rPr>
      <w:t xml:space="preserve">Page </w:t>
    </w:r>
    <w:r>
      <w:rPr>
        <w:sz w:val="18"/>
      </w:rPr>
      <w:t xml:space="preserve">of </w:t>
    </w:r>
    <w:r>
      <w:rPr>
        <w:sz w:val="22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465AE" w14:textId="77777777" w:rsidR="00531DF4" w:rsidRDefault="00531DF4">
      <w:pPr>
        <w:spacing w:after="0" w:line="240" w:lineRule="auto"/>
      </w:pPr>
      <w:r>
        <w:separator/>
      </w:r>
    </w:p>
  </w:footnote>
  <w:footnote w:type="continuationSeparator" w:id="0">
    <w:p w14:paraId="7F8AD36D" w14:textId="77777777" w:rsidR="00531DF4" w:rsidRDefault="00531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2125" style="width:8pt;height:9.5pt" coordsize="" o:spt="100" o:bullet="t" adj="0,,0" path="" stroked="f">
        <v:stroke joinstyle="miter"/>
        <v:imagedata r:id="rId1" o:title="image18"/>
        <v:formulas/>
        <v:path o:connecttype="segments"/>
      </v:shape>
    </w:pict>
  </w:numPicBullet>
  <w:abstractNum w:abstractNumId="0" w15:restartNumberingAfterBreak="0">
    <w:nsid w:val="758428B1"/>
    <w:multiLevelType w:val="hybridMultilevel"/>
    <w:tmpl w:val="AEFA1D4E"/>
    <w:lvl w:ilvl="0" w:tplc="9B127C2A">
      <w:start w:val="1"/>
      <w:numFmt w:val="bullet"/>
      <w:lvlText w:val="•"/>
      <w:lvlPicBulletId w:val="0"/>
      <w:lvlJc w:val="left"/>
      <w:pPr>
        <w:ind w:left="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9E1CC4">
      <w:start w:val="1"/>
      <w:numFmt w:val="bullet"/>
      <w:lvlText w:val="o"/>
      <w:lvlJc w:val="left"/>
      <w:pPr>
        <w:ind w:left="1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E95D8">
      <w:start w:val="1"/>
      <w:numFmt w:val="bullet"/>
      <w:lvlText w:val="▪"/>
      <w:lvlJc w:val="left"/>
      <w:pPr>
        <w:ind w:left="2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D8C6EA">
      <w:start w:val="1"/>
      <w:numFmt w:val="bullet"/>
      <w:lvlText w:val="•"/>
      <w:lvlJc w:val="left"/>
      <w:pPr>
        <w:ind w:left="2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3AD3EC">
      <w:start w:val="1"/>
      <w:numFmt w:val="bullet"/>
      <w:lvlText w:val="o"/>
      <w:lvlJc w:val="left"/>
      <w:pPr>
        <w:ind w:left="36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8C94E2">
      <w:start w:val="1"/>
      <w:numFmt w:val="bullet"/>
      <w:lvlText w:val="▪"/>
      <w:lvlJc w:val="left"/>
      <w:pPr>
        <w:ind w:left="43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0F884">
      <w:start w:val="1"/>
      <w:numFmt w:val="bullet"/>
      <w:lvlText w:val="•"/>
      <w:lvlJc w:val="left"/>
      <w:pPr>
        <w:ind w:left="50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3463A2">
      <w:start w:val="1"/>
      <w:numFmt w:val="bullet"/>
      <w:lvlText w:val="o"/>
      <w:lvlJc w:val="left"/>
      <w:pPr>
        <w:ind w:left="57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16864C">
      <w:start w:val="1"/>
      <w:numFmt w:val="bullet"/>
      <w:lvlText w:val="▪"/>
      <w:lvlJc w:val="left"/>
      <w:pPr>
        <w:ind w:left="64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23"/>
    <w:rsid w:val="004D3823"/>
    <w:rsid w:val="00531DF4"/>
    <w:rsid w:val="0082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2E47"/>
  <w15:docId w15:val="{A37AC589-E4FB-432F-915B-F70CC23D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3" w:lineRule="auto"/>
      <w:ind w:left="20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0"/>
      <w:jc w:val="center"/>
      <w:outlineLvl w:val="0"/>
    </w:pPr>
    <w:rPr>
      <w:rFonts w:ascii="Calibri" w:eastAsia="Calibri" w:hAnsi="Calibri" w:cs="Calibri"/>
      <w:color w:val="000000"/>
      <w:sz w:val="6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6"/>
      <w:ind w:left="41"/>
      <w:outlineLvl w:val="1"/>
    </w:pPr>
    <w:rPr>
      <w:rFonts w:ascii="Calibri" w:eastAsia="Calibri" w:hAnsi="Calibri" w:cs="Calibri"/>
      <w:color w:val="000000"/>
      <w:sz w:val="26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66"/>
      <w:ind w:left="56"/>
      <w:outlineLvl w:val="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4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6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6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image" Target="media/image13.jpg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jpg"/><Relationship Id="rId20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image" Target="media/image15.jpg"/><Relationship Id="rId10" Type="http://schemas.openxmlformats.org/officeDocument/2006/relationships/footer" Target="footer3.xml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jpg"/><Relationship Id="rId22" Type="http://schemas.openxmlformats.org/officeDocument/2006/relationships/image" Target="media/image1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Vaccaneo</dc:creator>
  <cp:keywords/>
  <cp:lastModifiedBy>Stuart Vaccaneo</cp:lastModifiedBy>
  <cp:revision>2</cp:revision>
  <dcterms:created xsi:type="dcterms:W3CDTF">2021-02-02T05:22:00Z</dcterms:created>
  <dcterms:modified xsi:type="dcterms:W3CDTF">2021-02-02T05:22:00Z</dcterms:modified>
</cp:coreProperties>
</file>