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B61" w14:textId="77777777" w:rsidR="00C7612C" w:rsidRDefault="00374E8B">
      <w:pPr>
        <w:spacing w:after="161" w:line="259" w:lineRule="auto"/>
        <w:ind w:left="2738" w:hanging="10"/>
        <w:jc w:val="center"/>
      </w:pPr>
      <w:r>
        <w:rPr>
          <w:sz w:val="18"/>
        </w:rPr>
        <w:t>Mackay Office</w:t>
      </w:r>
    </w:p>
    <w:p w14:paraId="183FAAFF" w14:textId="77777777" w:rsidR="00C7612C" w:rsidRDefault="00374E8B">
      <w:pPr>
        <w:tabs>
          <w:tab w:val="center" w:pos="2529"/>
          <w:tab w:val="center" w:pos="6947"/>
        </w:tabs>
        <w:spacing w:after="0" w:line="259" w:lineRule="auto"/>
        <w:ind w:left="0" w:firstLine="0"/>
      </w:pPr>
      <w:r>
        <w:rPr>
          <w:sz w:val="18"/>
        </w:rPr>
        <w:tab/>
        <w:t>Queensland Government</w:t>
      </w:r>
      <w:r>
        <w:rPr>
          <w:sz w:val="18"/>
        </w:rPr>
        <w:tab/>
        <w:t>P.O. Phone: Box 07 1801, 4999 Mackay, 8512, Fax: QLD 07 474049998519</w:t>
      </w:r>
    </w:p>
    <w:p w14:paraId="5D8FBBB2" w14:textId="77777777" w:rsidR="00C7612C" w:rsidRDefault="00374E8B">
      <w:pPr>
        <w:spacing w:after="480" w:line="259" w:lineRule="auto"/>
        <w:ind w:left="850" w:firstLine="0"/>
      </w:pPr>
      <w:r>
        <w:rPr>
          <w:noProof/>
        </w:rPr>
        <w:drawing>
          <wp:inline distT="0" distB="0" distL="0" distR="0" wp14:anchorId="05518F56" wp14:editId="24F49449">
            <wp:extent cx="6463" cy="9695"/>
            <wp:effectExtent l="0" t="0" r="0" b="0"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15" w:type="dxa"/>
        <w:tblInd w:w="61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3363"/>
        <w:gridCol w:w="1850"/>
        <w:gridCol w:w="1335"/>
      </w:tblGrid>
      <w:tr w:rsidR="00C7612C" w14:paraId="17D93E28" w14:textId="77777777">
        <w:trPr>
          <w:trHeight w:val="273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08B4E" w14:textId="77777777" w:rsidR="00C7612C" w:rsidRDefault="00374E8B">
            <w:pPr>
              <w:spacing w:after="0" w:line="259" w:lineRule="auto"/>
              <w:ind w:left="20" w:firstLine="0"/>
            </w:pPr>
            <w:r>
              <w:t>Mine Name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D21E6" w14:textId="77777777" w:rsidR="00C7612C" w:rsidRDefault="00374E8B">
            <w:pPr>
              <w:tabs>
                <w:tab w:val="center" w:pos="1771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Mine ID</w:t>
            </w:r>
            <w:r>
              <w:rPr>
                <w:sz w:val="24"/>
              </w:rPr>
              <w:tab/>
              <w:t>Operator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5A6A6B" w14:textId="77777777" w:rsidR="00C7612C" w:rsidRDefault="0037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Activity Type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15A11" w14:textId="77777777" w:rsidR="00C7612C" w:rsidRDefault="00374E8B">
            <w:pPr>
              <w:spacing w:after="0" w:line="259" w:lineRule="auto"/>
              <w:ind w:left="0" w:firstLine="0"/>
            </w:pPr>
            <w:r>
              <w:t>Activity Date</w:t>
            </w:r>
          </w:p>
        </w:tc>
      </w:tr>
      <w:tr w:rsidR="00C7612C" w14:paraId="29052816" w14:textId="77777777">
        <w:trPr>
          <w:trHeight w:val="493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32414D" w14:textId="77777777" w:rsidR="00C7612C" w:rsidRDefault="00374E8B">
            <w:pPr>
              <w:spacing w:after="0" w:line="259" w:lineRule="auto"/>
              <w:ind w:left="20" w:firstLine="0"/>
            </w:pPr>
            <w:r>
              <w:t>North Goonyella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FE65D" w14:textId="77777777" w:rsidR="00C7612C" w:rsidRDefault="00374E8B">
            <w:pPr>
              <w:spacing w:after="0" w:line="259" w:lineRule="auto"/>
              <w:ind w:left="1664" w:right="251" w:hanging="1664"/>
            </w:pPr>
            <w:r>
              <w:t>MIO 1157 Peabody (Bowen) Pty Ltd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54AE2" w14:textId="77777777" w:rsidR="00C7612C" w:rsidRDefault="00374E8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>Site Meeting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6BCC9" w14:textId="77777777" w:rsidR="00C7612C" w:rsidRDefault="00374E8B">
            <w:pPr>
              <w:spacing w:after="0" w:line="259" w:lineRule="auto"/>
              <w:ind w:left="158" w:firstLine="0"/>
            </w:pPr>
            <w:r>
              <w:t>04/10/2018</w:t>
            </w:r>
          </w:p>
        </w:tc>
      </w:tr>
    </w:tbl>
    <w:p w14:paraId="45DFAF42" w14:textId="77777777" w:rsidR="00C7612C" w:rsidRDefault="00374E8B">
      <w:pPr>
        <w:spacing w:after="333" w:line="259" w:lineRule="auto"/>
        <w:ind w:firstLine="0"/>
        <w:jc w:val="center"/>
      </w:pPr>
      <w:r>
        <w:rPr>
          <w:sz w:val="20"/>
        </w:rPr>
        <w:t>Vision: Our Industries Free of Safety and Health Incidents</w:t>
      </w:r>
    </w:p>
    <w:p w14:paraId="31533F19" w14:textId="77777777" w:rsidR="00C7612C" w:rsidRDefault="00374E8B">
      <w:pPr>
        <w:pStyle w:val="Heading1"/>
      </w:pPr>
      <w:r>
        <w:t>Mine Record Entry</w:t>
      </w:r>
    </w:p>
    <w:p w14:paraId="61A86238" w14:textId="77777777" w:rsidR="00C7612C" w:rsidRDefault="00374E8B">
      <w:pPr>
        <w:spacing w:after="0" w:line="259" w:lineRule="auto"/>
        <w:ind w:firstLine="0"/>
        <w:jc w:val="center"/>
      </w:pPr>
      <w:r>
        <w:rPr>
          <w:sz w:val="26"/>
        </w:rPr>
        <w:t>This report forms part of the Mine Record under s68 of the Coal Mining Safety and</w:t>
      </w:r>
    </w:p>
    <w:p w14:paraId="13CCEAC5" w14:textId="77777777" w:rsidR="00C7612C" w:rsidRDefault="00374E8B">
      <w:pPr>
        <w:spacing w:after="170" w:line="216" w:lineRule="auto"/>
        <w:ind w:left="4199" w:hanging="4087"/>
      </w:pPr>
      <w:r>
        <w:rPr>
          <w:sz w:val="26"/>
        </w:rPr>
        <w:t>Health Act 1999. It must be placed in the Mine Record and displayed on Safety Notice Boards.</w:t>
      </w:r>
    </w:p>
    <w:p w14:paraId="375734AD" w14:textId="77777777" w:rsidR="00C7612C" w:rsidRDefault="00374E8B">
      <w:pPr>
        <w:spacing w:after="217" w:line="216" w:lineRule="auto"/>
        <w:ind w:left="188" w:hanging="20"/>
        <w:jc w:val="both"/>
      </w:pPr>
      <w:r>
        <w:rPr>
          <w:sz w:val="26"/>
        </w:rPr>
        <w:t xml:space="preserve">Note that inspection or audit activities conducted by the Mines Inspectorate are </w:t>
      </w:r>
      <w:r>
        <w:rPr>
          <w:sz w:val="26"/>
        </w:rPr>
        <w:t xml:space="preserve">based </w:t>
      </w:r>
      <w:r>
        <w:rPr>
          <w:sz w:val="26"/>
        </w:rPr>
        <w:t>upon sample techniques. It remains the primary responsibility of Mine Personnel to identify hazards, and risks associated with Operations and ensure those risks are at an acceptable level.</w:t>
      </w:r>
    </w:p>
    <w:p w14:paraId="278C91AA" w14:textId="77777777" w:rsidR="00C7612C" w:rsidRDefault="00374E8B">
      <w:pPr>
        <w:spacing w:after="291" w:line="259" w:lineRule="auto"/>
        <w:ind w:left="0" w:hanging="10"/>
      </w:pPr>
      <w:r>
        <w:rPr>
          <w:sz w:val="26"/>
        </w:rPr>
        <w:t>Site Safety &amp; Health Reps Consulted: Zac Swift</w:t>
      </w:r>
    </w:p>
    <w:p w14:paraId="56BCDECE" w14:textId="77777777" w:rsidR="00C7612C" w:rsidRDefault="00374E8B">
      <w:pPr>
        <w:spacing w:after="9"/>
      </w:pPr>
      <w:r>
        <w:t xml:space="preserve">On Thursday 4 </w:t>
      </w:r>
      <w:r>
        <w:t>October 2018 Inspectors Geoff Nugent and Robert Sherwood attend the North</w:t>
      </w:r>
    </w:p>
    <w:p w14:paraId="26BC5995" w14:textId="77777777" w:rsidR="00C7612C" w:rsidRDefault="00374E8B">
      <w:pPr>
        <w:ind w:left="66"/>
      </w:pPr>
      <w:r>
        <w:t xml:space="preserve">Goonyella Mine Accommodation Village to attend a meeting </w:t>
      </w:r>
      <w:proofErr w:type="gramStart"/>
      <w:r>
        <w:t>in regard to</w:t>
      </w:r>
      <w:proofErr w:type="gramEnd"/>
      <w:r>
        <w:t xml:space="preserve"> progress on dealing with the </w:t>
      </w:r>
      <w:r>
        <w:rPr>
          <w:noProof/>
        </w:rPr>
        <w:drawing>
          <wp:inline distT="0" distB="0" distL="0" distR="0" wp14:anchorId="55E97748" wp14:editId="7891D8EC">
            <wp:extent cx="3232" cy="3232"/>
            <wp:effectExtent l="0" t="0" r="0" b="0"/>
            <wp:docPr id="2121" name="Picture 2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" name="Picture 2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spontaneous combustion event, Inspectors arriving at 7:30am.</w:t>
      </w:r>
    </w:p>
    <w:p w14:paraId="22C56D51" w14:textId="77777777" w:rsidR="00C7612C" w:rsidRDefault="00374E8B">
      <w:pPr>
        <w:ind w:left="87"/>
      </w:pPr>
      <w:r>
        <w:t>Update Meeting at 8:30am Thursday 4 October 2018</w:t>
      </w:r>
    </w:p>
    <w:p w14:paraId="0AFF7B25" w14:textId="77777777" w:rsidR="00C7612C" w:rsidRDefault="00374E8B">
      <w:pPr>
        <w:spacing w:after="153"/>
        <w:ind w:left="76"/>
      </w:pPr>
      <w:r>
        <w:t>Attendees —</w:t>
      </w:r>
    </w:p>
    <w:p w14:paraId="0623EF32" w14:textId="77777777" w:rsidR="00C7612C" w:rsidRDefault="00374E8B">
      <w:pPr>
        <w:spacing w:after="9"/>
      </w:pPr>
      <w:r>
        <w:t>Gareth Prichard (Electrical Maintenance Planner), John Anger (SSE), Geoff Nugent (Mines Inspector),</w:t>
      </w:r>
    </w:p>
    <w:p w14:paraId="2B9BFFD9" w14:textId="77777777" w:rsidR="00C7612C" w:rsidRDefault="00374E8B">
      <w:pPr>
        <w:spacing w:after="1"/>
        <w:ind w:left="76"/>
      </w:pPr>
      <w:r>
        <w:t xml:space="preserve">Chris </w:t>
      </w:r>
      <w:proofErr w:type="spellStart"/>
      <w:r>
        <w:t>Markowski</w:t>
      </w:r>
      <w:proofErr w:type="spellEnd"/>
      <w:r>
        <w:t xml:space="preserve"> (Tech Services), Rob Sherwood (Mines Inspector), Peter Baker (VP Peabody Austra</w:t>
      </w:r>
      <w:r>
        <w:t>lia)</w:t>
      </w:r>
    </w:p>
    <w:p w14:paraId="1AB2E188" w14:textId="77777777" w:rsidR="00C7612C" w:rsidRDefault="00374E8B">
      <w:pPr>
        <w:spacing w:after="276"/>
        <w:ind w:left="87"/>
      </w:pPr>
      <w:r>
        <w:t xml:space="preserve">Dial in — Marek </w:t>
      </w:r>
      <w:proofErr w:type="spellStart"/>
      <w:r>
        <w:t>Romenski</w:t>
      </w:r>
      <w:proofErr w:type="spellEnd"/>
      <w:r>
        <w:t xml:space="preserve"> (UMM), David Cliff (Consultant), Shaun Dobson (Deputy Chief Inspector), Neville </w:t>
      </w:r>
      <w:proofErr w:type="spellStart"/>
      <w:r>
        <w:t>Impson</w:t>
      </w:r>
      <w:proofErr w:type="spellEnd"/>
      <w:r>
        <w:t xml:space="preserve"> (Compliance Manager), Mike Carter (SSE Millennium Mine)</w:t>
      </w:r>
    </w:p>
    <w:p w14:paraId="5B82CCA3" w14:textId="77777777" w:rsidR="00C7612C" w:rsidRDefault="00374E8B">
      <w:pPr>
        <w:pStyle w:val="Heading2"/>
      </w:pPr>
      <w:r>
        <w:t>Past 24 hours</w:t>
      </w:r>
    </w:p>
    <w:p w14:paraId="43F165D4" w14:textId="77777777" w:rsidR="00C7612C" w:rsidRDefault="00374E8B">
      <w:r>
        <w:t>Damaged stabiliser ring and injectors required GAG to be stood at 212</w:t>
      </w:r>
      <w:r>
        <w:t>0hrs 3 October 2018 and recommenced at 0730hrs 4 October 2018.</w:t>
      </w:r>
    </w:p>
    <w:p w14:paraId="1EDC3CFA" w14:textId="77777777" w:rsidR="00C7612C" w:rsidRDefault="00374E8B">
      <w:r>
        <w:t>QMRS were instructed to seal up bleeder fan housing and GAG in case shaft breathed in.</w:t>
      </w:r>
    </w:p>
    <w:p w14:paraId="021BF6D3" w14:textId="77777777" w:rsidR="00C7612C" w:rsidRDefault="00374E8B">
      <w:pPr>
        <w:spacing w:after="83"/>
      </w:pPr>
      <w:r>
        <w:t>Bleeder Shaft was breathing out while GAG off, Bag Samples taken and posted 4 October 2018.</w:t>
      </w:r>
    </w:p>
    <w:p w14:paraId="05D8B261" w14:textId="77777777" w:rsidR="00C7612C" w:rsidRDefault="00374E8B">
      <w:pPr>
        <w:ind w:left="66"/>
      </w:pPr>
      <w:r>
        <w:t>Tube Bundle sa</w:t>
      </w:r>
      <w:r>
        <w:t xml:space="preserve">mpling point into H9 Shaft established first results posted 1815hrs 3 October </w:t>
      </w:r>
      <w:proofErr w:type="gramStart"/>
      <w:r>
        <w:t>2018</w:t>
      </w:r>
      <w:proofErr w:type="gramEnd"/>
    </w:p>
    <w:p w14:paraId="653FEFC8" w14:textId="77777777" w:rsidR="00C7612C" w:rsidRDefault="00374E8B">
      <w:pPr>
        <w:spacing w:after="82"/>
      </w:pPr>
      <w:r>
        <w:t xml:space="preserve">Issues with drilling GN2701, </w:t>
      </w:r>
      <w:proofErr w:type="gramStart"/>
      <w:r>
        <w:t>Focusing</w:t>
      </w:r>
      <w:proofErr w:type="gramEnd"/>
      <w:r>
        <w:t xml:space="preserve"> on drilling GN2702 aiming to hole through 4 October 2018</w:t>
      </w:r>
      <w:r>
        <w:rPr>
          <w:noProof/>
        </w:rPr>
        <w:drawing>
          <wp:inline distT="0" distB="0" distL="0" distR="0" wp14:anchorId="0E3BD8CA" wp14:editId="28F86506">
            <wp:extent cx="6463" cy="6464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B37F" w14:textId="77777777" w:rsidR="00C7612C" w:rsidRDefault="00374E8B">
      <w:pPr>
        <w:spacing w:after="1596"/>
        <w:ind w:left="0"/>
      </w:pPr>
      <w:r>
        <w:rPr>
          <w:noProof/>
        </w:rPr>
        <w:drawing>
          <wp:inline distT="0" distB="0" distL="0" distR="0" wp14:anchorId="5C484E07" wp14:editId="5CE63AE2">
            <wp:extent cx="6463" cy="6464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GAG Servicing completed during unplanned shut down overnight and no planned </w:t>
      </w:r>
      <w:r>
        <w:t>maintenance will be conducted today.</w:t>
      </w:r>
    </w:p>
    <w:p w14:paraId="5A98F69D" w14:textId="77777777" w:rsidR="00C7612C" w:rsidRDefault="00374E8B">
      <w:pPr>
        <w:tabs>
          <w:tab w:val="center" w:pos="4565"/>
          <w:tab w:val="right" w:pos="9232"/>
        </w:tabs>
        <w:spacing w:after="80" w:line="259" w:lineRule="auto"/>
        <w:ind w:left="-15" w:firstLine="0"/>
      </w:pPr>
      <w:r>
        <w:rPr>
          <w:sz w:val="18"/>
        </w:rPr>
        <w:lastRenderedPageBreak/>
        <w:t>05/10/2018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3</w:t>
      </w:r>
    </w:p>
    <w:p w14:paraId="3939B8F5" w14:textId="77777777" w:rsidR="00C7612C" w:rsidRDefault="00374E8B">
      <w:pPr>
        <w:pStyle w:val="Heading2"/>
        <w:ind w:left="10"/>
      </w:pPr>
      <w:r>
        <w:t>Next 24 hours</w:t>
      </w:r>
    </w:p>
    <w:p w14:paraId="76795343" w14:textId="77777777" w:rsidR="00C7612C" w:rsidRDefault="00374E8B">
      <w:pPr>
        <w:spacing w:after="14" w:line="331" w:lineRule="auto"/>
        <w:ind w:left="0" w:right="4102"/>
      </w:pPr>
      <w:r>
        <w:t xml:space="preserve">Borehole GN2702 hole through to be completed Borehole GN2701 hole through to be </w:t>
      </w:r>
      <w:proofErr w:type="gramStart"/>
      <w:r>
        <w:t>completed</w:t>
      </w:r>
      <w:proofErr w:type="gramEnd"/>
    </w:p>
    <w:p w14:paraId="277C1D63" w14:textId="77777777" w:rsidR="00C7612C" w:rsidRDefault="00374E8B">
      <w:pPr>
        <w:ind w:left="0"/>
      </w:pPr>
      <w:r>
        <w:t>Borehole GN2703 continuing drilling</w:t>
      </w:r>
    </w:p>
    <w:p w14:paraId="5F80361B" w14:textId="77777777" w:rsidR="00C7612C" w:rsidRDefault="00374E8B">
      <w:pPr>
        <w:spacing w:after="136" w:line="227" w:lineRule="auto"/>
        <w:ind w:left="-5" w:right="346"/>
        <w:jc w:val="both"/>
      </w:pPr>
      <w:r>
        <w:t xml:space="preserve">At completion of GN2702 borehole today a Tube Bundle sampling tube and camera will be lowered </w:t>
      </w:r>
      <w:r>
        <w:rPr>
          <w:noProof/>
        </w:rPr>
        <w:drawing>
          <wp:inline distT="0" distB="0" distL="0" distR="0" wp14:anchorId="076DCFDD" wp14:editId="1ACC0A02">
            <wp:extent cx="6463" cy="106648"/>
            <wp:effectExtent l="0" t="0" r="0" b="0"/>
            <wp:docPr id="8514" name="Picture 8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4" name="Picture 85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into hole for observation underground and attempt to conduct environmental sampling. NGC Mine intends to use Nitrogen in the hole to provide inert atmosphere for</w:t>
      </w:r>
      <w:r>
        <w:t xml:space="preserve"> camera.</w:t>
      </w:r>
    </w:p>
    <w:p w14:paraId="54A88D2A" w14:textId="77777777" w:rsidR="00C7612C" w:rsidRDefault="00374E8B">
      <w:pPr>
        <w:spacing w:after="403"/>
        <w:ind w:left="0"/>
      </w:pPr>
      <w:r>
        <w:t>Trend analysis of all Gas Sampling locations will be commenced by SIMTARS and distributed accordingly.</w:t>
      </w:r>
    </w:p>
    <w:p w14:paraId="613C588D" w14:textId="77777777" w:rsidR="00C7612C" w:rsidRDefault="00374E8B">
      <w:pPr>
        <w:pStyle w:val="Heading2"/>
        <w:spacing w:after="218"/>
        <w:ind w:left="10"/>
      </w:pPr>
      <w:r>
        <w:t>Meeting Notes</w:t>
      </w:r>
    </w:p>
    <w:p w14:paraId="631E0052" w14:textId="77777777" w:rsidR="00C7612C" w:rsidRDefault="00374E8B">
      <w:pPr>
        <w:spacing w:after="231"/>
        <w:ind w:left="0"/>
      </w:pPr>
      <w:r>
        <w:t xml:space="preserve">NGC will revise continued Nitrogen injection into the goaf and consider other locations in the mine </w:t>
      </w:r>
      <w:r>
        <w:rPr>
          <w:noProof/>
        </w:rPr>
        <w:drawing>
          <wp:inline distT="0" distB="0" distL="0" distR="0" wp14:anchorId="20A8B576" wp14:editId="03463554">
            <wp:extent cx="6463" cy="3232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workings due to the high CH4 </w:t>
      </w:r>
      <w:r>
        <w:t xml:space="preserve">and low Oxygen environment currently in the </w:t>
      </w:r>
      <w:proofErr w:type="gramStart"/>
      <w:r>
        <w:t>goaf</w:t>
      </w:r>
      <w:proofErr w:type="gramEnd"/>
    </w:p>
    <w:p w14:paraId="10FF4799" w14:textId="77777777" w:rsidR="00C7612C" w:rsidRDefault="00374E8B">
      <w:pPr>
        <w:spacing w:after="250"/>
        <w:ind w:left="0"/>
      </w:pPr>
      <w:r>
        <w:t>Due to the potential damage to GAG components operating GAG at 2% oxygen output, GAG will be operated at 4% oxygen output to maximise longevity of GAG components.</w:t>
      </w:r>
    </w:p>
    <w:p w14:paraId="2C6A6B16" w14:textId="77777777" w:rsidR="00C7612C" w:rsidRDefault="00374E8B">
      <w:pPr>
        <w:spacing w:after="244"/>
        <w:ind w:left="0"/>
      </w:pPr>
      <w:r>
        <w:t>Due to both H9 Shaft and Bleeder Shaft breat</w:t>
      </w:r>
      <w:r>
        <w:t xml:space="preserve">hing out while GAG not operating NGC believe air is </w:t>
      </w:r>
      <w:r>
        <w:rPr>
          <w:noProof/>
        </w:rPr>
        <w:drawing>
          <wp:inline distT="0" distB="0" distL="0" distR="0" wp14:anchorId="3778999A" wp14:editId="28A98ABB">
            <wp:extent cx="3231" cy="61404"/>
            <wp:effectExtent l="0" t="0" r="0" b="0"/>
            <wp:docPr id="8516" name="Picture 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" name="Picture 85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being supplied to the underground workings. NGC is conducting a visual audit of all known boreholes into the mine workings.</w:t>
      </w:r>
    </w:p>
    <w:p w14:paraId="099AEECE" w14:textId="77777777" w:rsidR="00C7612C" w:rsidRDefault="00374E8B">
      <w:pPr>
        <w:spacing w:after="244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3BF3FD" wp14:editId="160BF266">
            <wp:simplePos x="0" y="0"/>
            <wp:positionH relativeFrom="page">
              <wp:posOffset>639869</wp:posOffset>
            </wp:positionH>
            <wp:positionV relativeFrom="page">
              <wp:posOffset>6857804</wp:posOffset>
            </wp:positionV>
            <wp:extent cx="12927" cy="12927"/>
            <wp:effectExtent l="0" t="0" r="0" b="0"/>
            <wp:wrapSquare wrapText="bothSides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Professor David Cliff commented that the gas composition sampled from the tube</w:t>
      </w:r>
      <w:r>
        <w:t xml:space="preserve"> bundle line at H9 shaft are signature of Methane combustion.</w:t>
      </w:r>
    </w:p>
    <w:p w14:paraId="17C81713" w14:textId="77777777" w:rsidR="00C7612C" w:rsidRDefault="00374E8B">
      <w:pPr>
        <w:spacing w:after="259"/>
        <w:ind w:left="0"/>
      </w:pPr>
      <w:r>
        <w:t xml:space="preserve">NGC will </w:t>
      </w:r>
      <w:proofErr w:type="gramStart"/>
      <w:r>
        <w:t>conduct an assessment of</w:t>
      </w:r>
      <w:proofErr w:type="gramEnd"/>
      <w:r>
        <w:t xml:space="preserve"> Methane infrastructure and potential gas make to determine if system compromised.</w:t>
      </w:r>
    </w:p>
    <w:p w14:paraId="7229FD41" w14:textId="77777777" w:rsidR="00C7612C" w:rsidRDefault="00374E8B">
      <w:pPr>
        <w:spacing w:after="247"/>
        <w:ind w:left="0"/>
      </w:pPr>
      <w:r>
        <w:t>NGC has sourced further tube bundle supply for establishing additional gas mon</w:t>
      </w:r>
      <w:r>
        <w:t xml:space="preserve">itoring locations, the expected arrival of tube </w:t>
      </w:r>
      <w:proofErr w:type="gramStart"/>
      <w:r>
        <w:t>bundle;</w:t>
      </w:r>
      <w:proofErr w:type="gramEnd"/>
    </w:p>
    <w:p w14:paraId="4FE5A025" w14:textId="77777777" w:rsidR="00C7612C" w:rsidRDefault="00374E8B">
      <w:pPr>
        <w:ind w:left="0"/>
      </w:pPr>
      <w:r>
        <w:rPr>
          <w:noProof/>
        </w:rPr>
        <w:drawing>
          <wp:inline distT="0" distB="0" distL="0" distR="0" wp14:anchorId="635F0373" wp14:editId="4F144F28">
            <wp:extent cx="445969" cy="61403"/>
            <wp:effectExtent l="0" t="0" r="0" b="0"/>
            <wp:docPr id="8518" name="Picture 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" name="Picture 85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969" cy="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3km from Metropolitan Colliery NSW —4/10/18</w:t>
      </w:r>
      <w:r>
        <w:rPr>
          <w:noProof/>
        </w:rPr>
        <w:drawing>
          <wp:inline distT="0" distB="0" distL="0" distR="0" wp14:anchorId="592D9F73" wp14:editId="464AEA86">
            <wp:extent cx="3232" cy="3232"/>
            <wp:effectExtent l="0" t="0" r="0" b="0"/>
            <wp:docPr id="4257" name="Picture 4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" name="Picture 42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9D42" w14:textId="77777777" w:rsidR="00C7612C" w:rsidRDefault="00374E8B">
      <w:pPr>
        <w:spacing w:after="143"/>
        <w:ind w:left="0"/>
      </w:pPr>
      <w:r>
        <w:rPr>
          <w:noProof/>
        </w:rPr>
        <w:drawing>
          <wp:inline distT="0" distB="0" distL="0" distR="0" wp14:anchorId="4313F829" wp14:editId="702422CB">
            <wp:extent cx="19390" cy="25853"/>
            <wp:effectExtent l="0" t="0" r="0" b="0"/>
            <wp:docPr id="8520" name="Picture 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" name="Picture 85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5km from </w:t>
      </w:r>
      <w:proofErr w:type="spellStart"/>
      <w:r>
        <w:t>Ensham</w:t>
      </w:r>
      <w:proofErr w:type="spellEnd"/>
      <w:r>
        <w:t xml:space="preserve"> Colliery Queensland — 4/10/18</w:t>
      </w:r>
    </w:p>
    <w:p w14:paraId="51C6C371" w14:textId="77777777" w:rsidR="00C7612C" w:rsidRDefault="00374E8B">
      <w:pPr>
        <w:numPr>
          <w:ilvl w:val="0"/>
          <w:numId w:val="1"/>
        </w:numPr>
        <w:ind w:left="707" w:hanging="707"/>
      </w:pPr>
      <w:r>
        <w:t xml:space="preserve">10km (Black tube Bundle) from Melbourne — expected </w:t>
      </w:r>
      <w:proofErr w:type="gramStart"/>
      <w:r>
        <w:t>7/10/18</w:t>
      </w:r>
      <w:proofErr w:type="gramEnd"/>
    </w:p>
    <w:p w14:paraId="5144B76B" w14:textId="77777777" w:rsidR="00C7612C" w:rsidRDefault="00C7612C">
      <w:pPr>
        <w:sectPr w:rsidR="00C7612C">
          <w:pgSz w:w="11909" w:h="16841"/>
          <w:pgMar w:top="1608" w:right="1282" w:bottom="581" w:left="1394" w:header="720" w:footer="720" w:gutter="0"/>
          <w:cols w:space="720"/>
        </w:sectPr>
      </w:pPr>
    </w:p>
    <w:p w14:paraId="543D56E4" w14:textId="77777777" w:rsidR="00C7612C" w:rsidRDefault="00374E8B">
      <w:pPr>
        <w:numPr>
          <w:ilvl w:val="0"/>
          <w:numId w:val="1"/>
        </w:numPr>
        <w:spacing w:after="263"/>
        <w:ind w:left="707" w:hanging="707"/>
      </w:pPr>
      <w:r>
        <w:t xml:space="preserve">60km from Melbourne — expected </w:t>
      </w:r>
      <w:proofErr w:type="gramStart"/>
      <w:r>
        <w:t>14/</w:t>
      </w:r>
      <w:r>
        <w:t>10/18</w:t>
      </w:r>
      <w:proofErr w:type="gramEnd"/>
    </w:p>
    <w:p w14:paraId="503B4C8F" w14:textId="77777777" w:rsidR="00C7612C" w:rsidRDefault="00374E8B">
      <w:pPr>
        <w:spacing w:after="12" w:line="259" w:lineRule="auto"/>
        <w:ind w:left="-377" w:firstLine="0"/>
      </w:pPr>
      <w:r>
        <w:rPr>
          <w:noProof/>
        </w:rPr>
        <w:drawing>
          <wp:inline distT="0" distB="0" distL="0" distR="0" wp14:anchorId="3557C726" wp14:editId="037FCAF5">
            <wp:extent cx="1751561" cy="358725"/>
            <wp:effectExtent l="0" t="0" r="0" b="0"/>
            <wp:docPr id="4369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1561" cy="35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4DABA" w14:textId="77777777" w:rsidR="00C7612C" w:rsidRDefault="00374E8B">
      <w:pPr>
        <w:tabs>
          <w:tab w:val="center" w:pos="4008"/>
        </w:tabs>
        <w:spacing w:after="0" w:line="259" w:lineRule="auto"/>
        <w:ind w:left="-10" w:firstLine="0"/>
      </w:pPr>
      <w:r>
        <w:rPr>
          <w:sz w:val="26"/>
        </w:rPr>
        <w:t>Geoff Nugent</w:t>
      </w:r>
      <w:r>
        <w:rPr>
          <w:sz w:val="26"/>
        </w:rPr>
        <w:tab/>
        <w:t>Robert Sherwood</w:t>
      </w:r>
    </w:p>
    <w:p w14:paraId="0577BDB5" w14:textId="77777777" w:rsidR="00C7612C" w:rsidRDefault="00374E8B">
      <w:pPr>
        <w:pStyle w:val="Heading2"/>
        <w:tabs>
          <w:tab w:val="center" w:pos="3967"/>
        </w:tabs>
        <w:spacing w:after="1705"/>
        <w:ind w:left="0" w:firstLine="0"/>
      </w:pPr>
      <w:r>
        <w:t>Inspector of Mines</w:t>
      </w:r>
      <w:r>
        <w:tab/>
        <w:t>Inspector of Mines</w:t>
      </w:r>
    </w:p>
    <w:p w14:paraId="5DB57BB4" w14:textId="77777777" w:rsidR="00C7612C" w:rsidRDefault="00374E8B">
      <w:pPr>
        <w:tabs>
          <w:tab w:val="right" w:pos="5155"/>
        </w:tabs>
        <w:spacing w:after="80" w:line="259" w:lineRule="auto"/>
        <w:ind w:left="-15" w:firstLine="0"/>
      </w:pPr>
      <w:r>
        <w:rPr>
          <w:sz w:val="18"/>
        </w:rPr>
        <w:t>05/10/2018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noProof/>
        </w:rPr>
        <w:drawing>
          <wp:inline distT="0" distB="0" distL="0" distR="0" wp14:anchorId="5899DDC9" wp14:editId="21DE5E7C">
            <wp:extent cx="6464" cy="6463"/>
            <wp:effectExtent l="0" t="0" r="0" b="0"/>
            <wp:docPr id="4262" name="Picture 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42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9603" w14:textId="77777777" w:rsidR="00C7612C" w:rsidRDefault="00C7612C">
      <w:pPr>
        <w:sectPr w:rsidR="00C7612C">
          <w:type w:val="continuous"/>
          <w:pgSz w:w="11909" w:h="16841"/>
          <w:pgMar w:top="1608" w:right="5364" w:bottom="552" w:left="1389" w:header="720" w:footer="720" w:gutter="0"/>
          <w:cols w:space="720"/>
        </w:sectPr>
      </w:pPr>
    </w:p>
    <w:p w14:paraId="3922C0F7" w14:textId="77777777" w:rsidR="00C7612C" w:rsidRDefault="00374E8B">
      <w:pPr>
        <w:spacing w:after="80" w:line="259" w:lineRule="auto"/>
        <w:ind w:left="-5" w:hanging="10"/>
      </w:pPr>
      <w:r>
        <w:rPr>
          <w:sz w:val="18"/>
        </w:rPr>
        <w:lastRenderedPageBreak/>
        <w:t>Page 2 of 3</w:t>
      </w:r>
    </w:p>
    <w:sectPr w:rsidR="00C7612C">
      <w:type w:val="continuous"/>
      <w:pgSz w:w="11909" w:h="16841"/>
      <w:pgMar w:top="1608" w:right="1522" w:bottom="552" w:left="9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0" style="width:1pt;height:1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25A56EB6"/>
    <w:multiLevelType w:val="hybridMultilevel"/>
    <w:tmpl w:val="328CA6CA"/>
    <w:lvl w:ilvl="0" w:tplc="20D4DF30">
      <w:start w:val="1"/>
      <w:numFmt w:val="bullet"/>
      <w:lvlText w:val="•"/>
      <w:lvlPicBulletId w:val="0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60E2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4595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62DB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8F35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839B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6A36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8012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6580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C"/>
    <w:rsid w:val="00374E8B"/>
    <w:rsid w:val="00C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B0D9"/>
  <w15:docId w15:val="{CA1EB065-BBF5-4B61-96D0-0C99E7C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81" w:firstLine="5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2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5" w:line="265" w:lineRule="auto"/>
      <w:ind w:left="91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2021-02-07T09:05:00Z</dcterms:created>
  <dcterms:modified xsi:type="dcterms:W3CDTF">2021-02-07T09:05:00Z</dcterms:modified>
</cp:coreProperties>
</file>