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58" w:type="dxa"/>
        <w:tblInd w:w="110" w:type="dxa"/>
        <w:tblCellMar>
          <w:top w:w="36" w:type="dxa"/>
          <w:bottom w:w="7" w:type="dxa"/>
          <w:right w:w="34" w:type="dxa"/>
        </w:tblCellMar>
        <w:tblLook w:val="04A0" w:firstRow="1" w:lastRow="0" w:firstColumn="1" w:lastColumn="0" w:noHBand="0" w:noVBand="1"/>
      </w:tblPr>
      <w:tblGrid>
        <w:gridCol w:w="2313"/>
        <w:gridCol w:w="821"/>
        <w:gridCol w:w="2150"/>
        <w:gridCol w:w="1781"/>
        <w:gridCol w:w="2093"/>
      </w:tblGrid>
      <w:tr w:rsidR="007D6623" w14:paraId="3D71B3B0" w14:textId="77777777">
        <w:trPr>
          <w:trHeight w:val="951"/>
        </w:trPr>
        <w:tc>
          <w:tcPr>
            <w:tcW w:w="5285" w:type="dxa"/>
            <w:gridSpan w:val="3"/>
            <w:tcBorders>
              <w:top w:val="single" w:sz="2" w:space="0" w:color="000000"/>
              <w:left w:val="nil"/>
              <w:bottom w:val="single" w:sz="2" w:space="0" w:color="000000"/>
              <w:right w:val="nil"/>
            </w:tcBorders>
            <w:vAlign w:val="bottom"/>
          </w:tcPr>
          <w:p w14:paraId="028FB265" w14:textId="77777777" w:rsidR="007D6623" w:rsidRDefault="00425CFA">
            <w:pPr>
              <w:spacing w:after="0" w:line="259" w:lineRule="auto"/>
              <w:ind w:left="811" w:firstLine="0"/>
              <w:jc w:val="left"/>
            </w:pPr>
            <w:r>
              <w:rPr>
                <w:sz w:val="36"/>
              </w:rPr>
              <w:t>Queensland Government</w:t>
            </w:r>
          </w:p>
        </w:tc>
        <w:tc>
          <w:tcPr>
            <w:tcW w:w="3874" w:type="dxa"/>
            <w:gridSpan w:val="2"/>
            <w:tcBorders>
              <w:top w:val="single" w:sz="2" w:space="0" w:color="000000"/>
              <w:left w:val="nil"/>
              <w:bottom w:val="single" w:sz="2" w:space="0" w:color="000000"/>
              <w:right w:val="nil"/>
            </w:tcBorders>
            <w:vAlign w:val="center"/>
          </w:tcPr>
          <w:p w14:paraId="5DBB7CCB" w14:textId="77777777" w:rsidR="007D6623" w:rsidRDefault="00425CFA">
            <w:pPr>
              <w:spacing w:after="0" w:line="259" w:lineRule="auto"/>
              <w:ind w:left="82" w:firstLine="0"/>
              <w:jc w:val="left"/>
            </w:pPr>
            <w:r>
              <w:rPr>
                <w:sz w:val="20"/>
              </w:rPr>
              <w:t>Mackay District Office</w:t>
            </w:r>
          </w:p>
          <w:p w14:paraId="7CAF691D" w14:textId="77777777" w:rsidR="007D6623" w:rsidRDefault="00425CFA">
            <w:pPr>
              <w:spacing w:after="0" w:line="259" w:lineRule="auto"/>
              <w:ind w:left="82" w:firstLine="0"/>
              <w:jc w:val="left"/>
            </w:pPr>
            <w:r>
              <w:rPr>
                <w:sz w:val="20"/>
              </w:rPr>
              <w:t>P.O. Box 1801, MACKAY QLD 4740</w:t>
            </w:r>
          </w:p>
          <w:p w14:paraId="7060678E" w14:textId="77777777" w:rsidR="007D6623" w:rsidRDefault="00425CFA">
            <w:pPr>
              <w:spacing w:after="0" w:line="259" w:lineRule="auto"/>
              <w:ind w:left="82" w:firstLine="0"/>
              <w:jc w:val="left"/>
            </w:pPr>
            <w:r>
              <w:rPr>
                <w:sz w:val="18"/>
              </w:rPr>
              <w:t>Phone: (07) 4967 1450, Fax: (07) 4953 2761</w:t>
            </w:r>
          </w:p>
        </w:tc>
      </w:tr>
      <w:tr w:rsidR="007D6623" w14:paraId="7582E2BB" w14:textId="77777777">
        <w:trPr>
          <w:trHeight w:val="274"/>
        </w:trPr>
        <w:tc>
          <w:tcPr>
            <w:tcW w:w="2314" w:type="dxa"/>
            <w:tcBorders>
              <w:top w:val="single" w:sz="2" w:space="0" w:color="000000"/>
              <w:left w:val="nil"/>
              <w:bottom w:val="single" w:sz="2" w:space="0" w:color="000000"/>
              <w:right w:val="nil"/>
            </w:tcBorders>
          </w:tcPr>
          <w:p w14:paraId="4E073F94" w14:textId="77777777" w:rsidR="007D6623" w:rsidRDefault="00425CFA">
            <w:pPr>
              <w:spacing w:after="0" w:line="259" w:lineRule="auto"/>
              <w:ind w:left="14" w:firstLine="0"/>
              <w:jc w:val="left"/>
            </w:pPr>
            <w:r>
              <w:rPr>
                <w:sz w:val="22"/>
              </w:rPr>
              <w:t>Mine Name</w:t>
            </w:r>
          </w:p>
        </w:tc>
        <w:tc>
          <w:tcPr>
            <w:tcW w:w="821" w:type="dxa"/>
            <w:tcBorders>
              <w:top w:val="single" w:sz="2" w:space="0" w:color="000000"/>
              <w:left w:val="nil"/>
              <w:bottom w:val="single" w:sz="2" w:space="0" w:color="000000"/>
              <w:right w:val="nil"/>
            </w:tcBorders>
          </w:tcPr>
          <w:p w14:paraId="071EE60A" w14:textId="77777777" w:rsidR="007D6623" w:rsidRDefault="00425CFA">
            <w:pPr>
              <w:spacing w:after="0" w:line="259" w:lineRule="auto"/>
              <w:ind w:left="0" w:firstLine="0"/>
              <w:jc w:val="left"/>
            </w:pPr>
            <w:r>
              <w:rPr>
                <w:sz w:val="26"/>
              </w:rPr>
              <w:t>File No.</w:t>
            </w:r>
          </w:p>
        </w:tc>
        <w:tc>
          <w:tcPr>
            <w:tcW w:w="2150" w:type="dxa"/>
            <w:tcBorders>
              <w:top w:val="single" w:sz="2" w:space="0" w:color="000000"/>
              <w:left w:val="nil"/>
              <w:bottom w:val="single" w:sz="2" w:space="0" w:color="000000"/>
              <w:right w:val="nil"/>
            </w:tcBorders>
          </w:tcPr>
          <w:p w14:paraId="476BB5DF" w14:textId="77777777" w:rsidR="007D6623" w:rsidRDefault="00425CFA">
            <w:pPr>
              <w:spacing w:after="0" w:line="259" w:lineRule="auto"/>
              <w:ind w:left="499" w:firstLine="0"/>
              <w:jc w:val="left"/>
            </w:pPr>
            <w:r>
              <w:t>Operator</w:t>
            </w:r>
          </w:p>
        </w:tc>
        <w:tc>
          <w:tcPr>
            <w:tcW w:w="1781" w:type="dxa"/>
            <w:tcBorders>
              <w:top w:val="single" w:sz="2" w:space="0" w:color="000000"/>
              <w:left w:val="nil"/>
              <w:bottom w:val="single" w:sz="2" w:space="0" w:color="000000"/>
              <w:right w:val="nil"/>
            </w:tcBorders>
          </w:tcPr>
          <w:p w14:paraId="0A2CF43F" w14:textId="77777777" w:rsidR="007D6623" w:rsidRDefault="00425CFA">
            <w:pPr>
              <w:spacing w:after="0" w:line="259" w:lineRule="auto"/>
              <w:ind w:left="10" w:firstLine="0"/>
              <w:jc w:val="left"/>
            </w:pPr>
            <w:r>
              <w:t>Activity Type</w:t>
            </w:r>
          </w:p>
        </w:tc>
        <w:tc>
          <w:tcPr>
            <w:tcW w:w="2093" w:type="dxa"/>
            <w:tcBorders>
              <w:top w:val="single" w:sz="2" w:space="0" w:color="000000"/>
              <w:left w:val="nil"/>
              <w:bottom w:val="single" w:sz="2" w:space="0" w:color="000000"/>
              <w:right w:val="nil"/>
            </w:tcBorders>
          </w:tcPr>
          <w:p w14:paraId="79A2CC41" w14:textId="77777777" w:rsidR="007D6623" w:rsidRDefault="00425CFA">
            <w:pPr>
              <w:spacing w:after="0" w:line="259" w:lineRule="auto"/>
              <w:ind w:left="0" w:firstLine="0"/>
            </w:pPr>
            <w:r>
              <w:rPr>
                <w:sz w:val="22"/>
              </w:rPr>
              <w:t>Region Activity Date</w:t>
            </w:r>
          </w:p>
        </w:tc>
      </w:tr>
      <w:tr w:rsidR="007D6623" w14:paraId="633CAF9D" w14:textId="77777777">
        <w:trPr>
          <w:trHeight w:val="495"/>
        </w:trPr>
        <w:tc>
          <w:tcPr>
            <w:tcW w:w="2314" w:type="dxa"/>
            <w:tcBorders>
              <w:top w:val="single" w:sz="2" w:space="0" w:color="000000"/>
              <w:left w:val="nil"/>
              <w:bottom w:val="single" w:sz="2" w:space="0" w:color="000000"/>
              <w:right w:val="nil"/>
            </w:tcBorders>
          </w:tcPr>
          <w:p w14:paraId="3941095C" w14:textId="77777777" w:rsidR="007D6623" w:rsidRDefault="00425CFA">
            <w:pPr>
              <w:spacing w:after="0" w:line="259" w:lineRule="auto"/>
              <w:ind w:left="14" w:firstLine="0"/>
              <w:jc w:val="left"/>
            </w:pPr>
            <w:r>
              <w:rPr>
                <w:sz w:val="22"/>
              </w:rPr>
              <w:t>North Goonyella</w:t>
            </w:r>
          </w:p>
        </w:tc>
        <w:tc>
          <w:tcPr>
            <w:tcW w:w="821" w:type="dxa"/>
            <w:tcBorders>
              <w:top w:val="single" w:sz="2" w:space="0" w:color="000000"/>
              <w:left w:val="nil"/>
              <w:bottom w:val="single" w:sz="2" w:space="0" w:color="000000"/>
              <w:right w:val="nil"/>
            </w:tcBorders>
          </w:tcPr>
          <w:p w14:paraId="0F10D7C8" w14:textId="77777777" w:rsidR="007D6623" w:rsidRDefault="00425CFA">
            <w:pPr>
              <w:spacing w:after="0" w:line="259" w:lineRule="auto"/>
              <w:ind w:left="106" w:firstLine="0"/>
              <w:jc w:val="left"/>
            </w:pPr>
            <w:r>
              <w:rPr>
                <w:sz w:val="22"/>
              </w:rPr>
              <w:t xml:space="preserve">8,550 </w:t>
            </w:r>
          </w:p>
        </w:tc>
        <w:tc>
          <w:tcPr>
            <w:tcW w:w="2150" w:type="dxa"/>
            <w:tcBorders>
              <w:top w:val="single" w:sz="2" w:space="0" w:color="000000"/>
              <w:left w:val="nil"/>
              <w:bottom w:val="single" w:sz="2" w:space="0" w:color="000000"/>
              <w:right w:val="nil"/>
            </w:tcBorders>
          </w:tcPr>
          <w:p w14:paraId="1432C077" w14:textId="77777777" w:rsidR="007D6623" w:rsidRDefault="00425CFA">
            <w:pPr>
              <w:spacing w:after="0" w:line="259" w:lineRule="auto"/>
              <w:ind w:left="816" w:hanging="816"/>
              <w:jc w:val="left"/>
            </w:pPr>
            <w:r>
              <w:rPr>
                <w:sz w:val="22"/>
              </w:rPr>
              <w:t>Peabody (Bowen) Pty Ltd</w:t>
            </w:r>
          </w:p>
        </w:tc>
        <w:tc>
          <w:tcPr>
            <w:tcW w:w="1781" w:type="dxa"/>
            <w:tcBorders>
              <w:top w:val="single" w:sz="2" w:space="0" w:color="000000"/>
              <w:left w:val="nil"/>
              <w:bottom w:val="single" w:sz="2" w:space="0" w:color="000000"/>
              <w:right w:val="nil"/>
            </w:tcBorders>
          </w:tcPr>
          <w:p w14:paraId="7A0E6088" w14:textId="77777777" w:rsidR="007D6623" w:rsidRDefault="00425CFA">
            <w:pPr>
              <w:spacing w:after="0" w:line="259" w:lineRule="auto"/>
              <w:ind w:left="149" w:firstLine="0"/>
              <w:jc w:val="left"/>
            </w:pPr>
            <w:proofErr w:type="spellStart"/>
            <w:r>
              <w:rPr>
                <w:sz w:val="22"/>
              </w:rPr>
              <w:t>SafeGuard</w:t>
            </w:r>
            <w:proofErr w:type="spellEnd"/>
          </w:p>
          <w:p w14:paraId="149A304E" w14:textId="77777777" w:rsidR="007D6623" w:rsidRDefault="00425CFA">
            <w:pPr>
              <w:spacing w:after="0" w:line="259" w:lineRule="auto"/>
              <w:ind w:left="0" w:firstLine="0"/>
              <w:jc w:val="left"/>
            </w:pPr>
            <w:r>
              <w:t>Systems Audit</w:t>
            </w:r>
          </w:p>
        </w:tc>
        <w:tc>
          <w:tcPr>
            <w:tcW w:w="2093" w:type="dxa"/>
            <w:tcBorders>
              <w:top w:val="single" w:sz="2" w:space="0" w:color="000000"/>
              <w:left w:val="nil"/>
              <w:bottom w:val="single" w:sz="2" w:space="0" w:color="000000"/>
              <w:right w:val="nil"/>
            </w:tcBorders>
          </w:tcPr>
          <w:p w14:paraId="7A3BCD37" w14:textId="77777777" w:rsidR="007D6623" w:rsidRDefault="00425CFA">
            <w:pPr>
              <w:tabs>
                <w:tab w:val="right" w:pos="2059"/>
              </w:tabs>
              <w:spacing w:after="0" w:line="259" w:lineRule="auto"/>
              <w:ind w:left="0" w:firstLine="0"/>
              <w:jc w:val="left"/>
            </w:pPr>
            <w:r>
              <w:rPr>
                <w:sz w:val="22"/>
              </w:rPr>
              <w:t>Central</w:t>
            </w:r>
            <w:r>
              <w:rPr>
                <w:sz w:val="22"/>
              </w:rPr>
              <w:tab/>
              <w:t>14/03/2014</w:t>
            </w:r>
          </w:p>
        </w:tc>
      </w:tr>
    </w:tbl>
    <w:p w14:paraId="2A2A04F6" w14:textId="77777777" w:rsidR="007D6623" w:rsidRDefault="00425CFA">
      <w:pPr>
        <w:spacing w:after="343" w:line="259" w:lineRule="auto"/>
        <w:ind w:left="120" w:firstLine="0"/>
        <w:jc w:val="center"/>
      </w:pPr>
      <w:r>
        <w:rPr>
          <w:sz w:val="20"/>
        </w:rPr>
        <w:t>Vision: Our Industries Free of Safety and Health Incidents</w:t>
      </w:r>
    </w:p>
    <w:p w14:paraId="290D0C90" w14:textId="77777777" w:rsidR="007D6623" w:rsidRDefault="00425CFA">
      <w:pPr>
        <w:pStyle w:val="Heading1"/>
      </w:pPr>
      <w:r>
        <w:t>Mine Record Entry</w:t>
      </w:r>
    </w:p>
    <w:p w14:paraId="74A7B6D1" w14:textId="77777777" w:rsidR="007D6623" w:rsidRDefault="00425CFA">
      <w:pPr>
        <w:spacing w:after="0" w:line="259" w:lineRule="auto"/>
        <w:ind w:left="139" w:firstLine="0"/>
        <w:jc w:val="center"/>
      </w:pPr>
      <w:r>
        <w:rPr>
          <w:sz w:val="26"/>
        </w:rPr>
        <w:t>This report forms part of the Mine Record under s68 of the Coal Mining Safety and</w:t>
      </w:r>
    </w:p>
    <w:p w14:paraId="611D6D34" w14:textId="77777777" w:rsidR="007D6623" w:rsidRDefault="00425CFA">
      <w:pPr>
        <w:spacing w:line="216" w:lineRule="auto"/>
        <w:ind w:left="4238" w:hanging="4090"/>
        <w:jc w:val="left"/>
      </w:pPr>
      <w:r>
        <w:rPr>
          <w:sz w:val="28"/>
        </w:rPr>
        <w:t>Health Act 1999- It must be placed in the Mine Record and displayed on Safety Notice Boards.</w:t>
      </w:r>
    </w:p>
    <w:p w14:paraId="40F358B4" w14:textId="77777777" w:rsidR="007D6623" w:rsidRDefault="00425CFA">
      <w:pPr>
        <w:spacing w:after="478" w:line="216" w:lineRule="auto"/>
        <w:ind w:left="245" w:hanging="29"/>
        <w:jc w:val="left"/>
      </w:pPr>
      <w:r>
        <w:rPr>
          <w:sz w:val="28"/>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529ED20C" w14:textId="77777777" w:rsidR="007D6623" w:rsidRDefault="00425CFA">
      <w:pPr>
        <w:spacing w:after="262"/>
        <w:ind w:left="134" w:hanging="14"/>
        <w:jc w:val="left"/>
      </w:pPr>
      <w:r>
        <w:t>A safeguard audit was conducted at North Goonyella mine from the 10th - 14th of March. Following the entry meeting, on the 10th of March, and over the time from the 10th to 14th of March interviews were conducted with various people and physical observations made of the processes in use at the mine. The subject areas of Combustible Dust Management, Management Structure, CHPP operations, Risk management, Spontaneous Combustion management and Ventilation Management were examined in detail.</w:t>
      </w:r>
    </w:p>
    <w:p w14:paraId="31ECFC57" w14:textId="77777777" w:rsidR="007D6623" w:rsidRDefault="00425CFA">
      <w:pPr>
        <w:ind w:left="245" w:right="96"/>
      </w:pPr>
      <w:r>
        <w:t>Nine mandatory corrective actions were identified and are described as:</w:t>
      </w:r>
    </w:p>
    <w:p w14:paraId="6B99513F" w14:textId="77777777" w:rsidR="007D6623" w:rsidRDefault="00425CFA">
      <w:pPr>
        <w:ind w:left="475" w:right="96" w:hanging="240"/>
      </w:pPr>
      <w:r>
        <w:rPr>
          <w:noProof/>
        </w:rPr>
        <w:drawing>
          <wp:anchor distT="0" distB="0" distL="114300" distR="114300" simplePos="0" relativeHeight="251658240" behindDoc="0" locked="0" layoutInCell="1" allowOverlap="0" wp14:anchorId="5A4BAD91" wp14:editId="244E71A3">
            <wp:simplePos x="0" y="0"/>
            <wp:positionH relativeFrom="page">
              <wp:posOffset>7101840</wp:posOffset>
            </wp:positionH>
            <wp:positionV relativeFrom="page">
              <wp:posOffset>3826331</wp:posOffset>
            </wp:positionV>
            <wp:extent cx="3048" cy="6097"/>
            <wp:effectExtent l="0" t="0" r="0" b="0"/>
            <wp:wrapSquare wrapText="bothSides"/>
            <wp:docPr id="2838" name="Picture 2838"/>
            <wp:cNvGraphicFramePr/>
            <a:graphic xmlns:a="http://schemas.openxmlformats.org/drawingml/2006/main">
              <a:graphicData uri="http://schemas.openxmlformats.org/drawingml/2006/picture">
                <pic:pic xmlns:pic="http://schemas.openxmlformats.org/drawingml/2006/picture">
                  <pic:nvPicPr>
                    <pic:cNvPr id="2838" name="Picture 2838"/>
                    <pic:cNvPicPr/>
                  </pic:nvPicPr>
                  <pic:blipFill>
                    <a:blip r:embed="rId7"/>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59264" behindDoc="0" locked="0" layoutInCell="1" allowOverlap="0" wp14:anchorId="706A4B82" wp14:editId="38DFBD80">
            <wp:simplePos x="0" y="0"/>
            <wp:positionH relativeFrom="page">
              <wp:posOffset>7095745</wp:posOffset>
            </wp:positionH>
            <wp:positionV relativeFrom="page">
              <wp:posOffset>3835478</wp:posOffset>
            </wp:positionV>
            <wp:extent cx="3048" cy="6097"/>
            <wp:effectExtent l="0" t="0" r="0" b="0"/>
            <wp:wrapSquare wrapText="bothSides"/>
            <wp:docPr id="2839" name="Picture 2839"/>
            <wp:cNvGraphicFramePr/>
            <a:graphic xmlns:a="http://schemas.openxmlformats.org/drawingml/2006/main">
              <a:graphicData uri="http://schemas.openxmlformats.org/drawingml/2006/picture">
                <pic:pic xmlns:pic="http://schemas.openxmlformats.org/drawingml/2006/picture">
                  <pic:nvPicPr>
                    <pic:cNvPr id="2839" name="Picture 2839"/>
                    <pic:cNvPicPr/>
                  </pic:nvPicPr>
                  <pic:blipFill>
                    <a:blip r:embed="rId7"/>
                    <a:stretch>
                      <a:fillRect/>
                    </a:stretch>
                  </pic:blipFill>
                  <pic:spPr>
                    <a:xfrm>
                      <a:off x="0" y="0"/>
                      <a:ext cx="3048" cy="6097"/>
                    </a:xfrm>
                    <a:prstGeom prst="rect">
                      <a:avLst/>
                    </a:prstGeom>
                  </pic:spPr>
                </pic:pic>
              </a:graphicData>
            </a:graphic>
          </wp:anchor>
        </w:drawing>
      </w:r>
      <w:r>
        <w:t xml:space="preserve">o The Challenge Test system needs to be reviewed. Challenge Test is not being consistently transmitted, </w:t>
      </w:r>
      <w:proofErr w:type="gramStart"/>
      <w:r>
        <w:t>enforced</w:t>
      </w:r>
      <w:proofErr w:type="gramEnd"/>
      <w:r>
        <w:t xml:space="preserve"> or championed. It is not effective.</w:t>
      </w:r>
    </w:p>
    <w:p w14:paraId="73CECE34" w14:textId="77777777" w:rsidR="007D6623" w:rsidRDefault="00425CFA">
      <w:pPr>
        <w:ind w:left="480" w:right="322" w:hanging="245"/>
      </w:pPr>
      <w:r>
        <w:t>e Review the Management Structure so that it is derived through a risk management process so that it is clear the positions in the management structure have ownership of hazards.</w:t>
      </w:r>
    </w:p>
    <w:p w14:paraId="5FC98585" w14:textId="77777777" w:rsidR="007D6623" w:rsidRDefault="00425CFA">
      <w:pPr>
        <w:numPr>
          <w:ilvl w:val="0"/>
          <w:numId w:val="1"/>
        </w:numPr>
        <w:spacing w:after="50"/>
        <w:ind w:left="485" w:right="96" w:hanging="250"/>
      </w:pPr>
      <w:r>
        <w:t>Develop a Training Needs Analysis for the positions in the Management Structure.</w:t>
      </w:r>
    </w:p>
    <w:p w14:paraId="5114170F" w14:textId="77777777" w:rsidR="007D6623" w:rsidRDefault="00425CFA">
      <w:pPr>
        <w:numPr>
          <w:ilvl w:val="0"/>
          <w:numId w:val="1"/>
        </w:numPr>
        <w:spacing w:after="39"/>
        <w:ind w:left="485" w:right="96" w:hanging="250"/>
      </w:pPr>
      <w:r>
        <w:t xml:space="preserve">Ensure the JSEA process, as required by the NGC SHMS, is applied </w:t>
      </w:r>
      <w:proofErr w:type="gramStart"/>
      <w:r>
        <w:t>consistently .</w:t>
      </w:r>
      <w:proofErr w:type="spellStart"/>
      <w:r>
        <w:t>e</w:t>
      </w:r>
      <w:proofErr w:type="gramEnd"/>
      <w:r>
        <w:t>.g</w:t>
      </w:r>
      <w:proofErr w:type="spellEnd"/>
      <w:r>
        <w:t xml:space="preserve"> 2x</w:t>
      </w:r>
    </w:p>
    <w:p w14:paraId="0AC568D4" w14:textId="77777777" w:rsidR="007D6623" w:rsidRDefault="00425CFA">
      <w:pPr>
        <w:ind w:left="500" w:right="466"/>
      </w:pPr>
      <w:r>
        <w:t>JSEA's that dealt with rear conveyor sparking problem, show inappropriate controls (promise for action rather than control). The potential for harm ought to have required consultation with senior management or else have been elevated above JSEA level.</w:t>
      </w:r>
    </w:p>
    <w:p w14:paraId="52534057" w14:textId="77777777" w:rsidR="007D6623" w:rsidRDefault="00425CFA">
      <w:pPr>
        <w:ind w:left="480" w:right="96" w:hanging="245"/>
      </w:pPr>
      <w:r>
        <w:t xml:space="preserve">e There must be only one SHMS in operation at the mine. The same element of the system may be described differently by </w:t>
      </w:r>
      <w:proofErr w:type="gramStart"/>
      <w:r>
        <w:t>a number of</w:t>
      </w:r>
      <w:proofErr w:type="gramEnd"/>
      <w:r>
        <w:t xml:space="preserve"> documents. It is an opportunity to review and consolidate the total SHMS.</w:t>
      </w:r>
    </w:p>
    <w:p w14:paraId="5ED833B4" w14:textId="77777777" w:rsidR="007D6623" w:rsidRDefault="00425CFA">
      <w:pPr>
        <w:spacing w:after="55"/>
        <w:ind w:left="480" w:right="96" w:hanging="245"/>
      </w:pPr>
      <w:r>
        <w:t xml:space="preserve">e Implement a process whereby </w:t>
      </w:r>
      <w:proofErr w:type="spellStart"/>
      <w:r>
        <w:t>HPl's</w:t>
      </w:r>
      <w:proofErr w:type="spellEnd"/>
      <w:r>
        <w:t xml:space="preserve"> that are reported under section 198 of the Act are investigated and a report prepared of the incident as per section 201 (l)(</w:t>
      </w:r>
      <w:proofErr w:type="gramStart"/>
      <w:r>
        <w:t>a)&amp;</w:t>
      </w:r>
      <w:proofErr w:type="gramEnd"/>
      <w:r>
        <w:t>(b).</w:t>
      </w:r>
    </w:p>
    <w:p w14:paraId="27446206" w14:textId="77777777" w:rsidR="007D6623" w:rsidRDefault="00425CFA">
      <w:pPr>
        <w:numPr>
          <w:ilvl w:val="0"/>
          <w:numId w:val="2"/>
        </w:numPr>
        <w:ind w:right="96" w:hanging="254"/>
      </w:pPr>
      <w:r>
        <w:lastRenderedPageBreak/>
        <w:t>Implement a system of auditing of the documented system for Spontaneous Combustion and Ventilation.</w:t>
      </w:r>
    </w:p>
    <w:p w14:paraId="05714DA9" w14:textId="77777777" w:rsidR="007D6623" w:rsidRDefault="00425CFA">
      <w:pPr>
        <w:numPr>
          <w:ilvl w:val="0"/>
          <w:numId w:val="2"/>
        </w:numPr>
        <w:ind w:right="96" w:hanging="254"/>
      </w:pPr>
      <w:r>
        <w:t>Review the consultation process for risk assessment and ensure the correct cross section of the work force is included where required.</w:t>
      </w:r>
    </w:p>
    <w:p w14:paraId="66BCF8D3" w14:textId="77777777" w:rsidR="007D6623" w:rsidRDefault="00425CFA">
      <w:pPr>
        <w:numPr>
          <w:ilvl w:val="0"/>
          <w:numId w:val="2"/>
        </w:numPr>
        <w:ind w:right="96" w:hanging="254"/>
      </w:pPr>
      <w:r>
        <w:t xml:space="preserve">Inspect and service all pressure </w:t>
      </w:r>
      <w:proofErr w:type="gramStart"/>
      <w:r>
        <w:t>relieve</w:t>
      </w:r>
      <w:proofErr w:type="gramEnd"/>
      <w:r>
        <w:t xml:space="preserve"> devices (PRD's) on pressure vessels in</w:t>
      </w:r>
    </w:p>
    <w:p w14:paraId="7AA2ABD6" w14:textId="77777777" w:rsidR="007D6623" w:rsidRDefault="00425CFA">
      <w:pPr>
        <w:spacing w:after="189"/>
        <w:ind w:left="504" w:right="96"/>
      </w:pPr>
      <w:r>
        <w:t>accordance with AS 3788 or better as determined by Level 3 Risk Assessment.</w:t>
      </w:r>
    </w:p>
    <w:p w14:paraId="4DA7343E" w14:textId="77777777" w:rsidR="007D6623" w:rsidRDefault="00425CFA">
      <w:pPr>
        <w:spacing w:after="378"/>
        <w:ind w:left="135" w:right="96"/>
      </w:pPr>
      <w:r>
        <w:t>Twelve recommended corrective actions were identified and are described as:</w:t>
      </w:r>
    </w:p>
    <w:p w14:paraId="228BFFF9" w14:textId="77777777" w:rsidR="007D6623" w:rsidRDefault="00425CFA">
      <w:pPr>
        <w:numPr>
          <w:ilvl w:val="0"/>
          <w:numId w:val="2"/>
        </w:numPr>
        <w:spacing w:after="162"/>
        <w:ind w:right="96" w:hanging="254"/>
      </w:pPr>
      <w:r>
        <w:t>Ensure consistent and effective application of Management of Change and risk assessment processes, as demanded in all system documentation. Do as you say you will do.</w:t>
      </w:r>
    </w:p>
    <w:p w14:paraId="6FE7B7F0" w14:textId="77777777" w:rsidR="007D6623" w:rsidRDefault="00425CFA">
      <w:pPr>
        <w:spacing w:after="130"/>
        <w:ind w:left="480" w:right="96" w:hanging="245"/>
      </w:pPr>
      <w:r>
        <w:t xml:space="preserve">e Ventilation Officer reporting through Technical Services </w:t>
      </w:r>
      <w:proofErr w:type="spellStart"/>
      <w:r>
        <w:t>Mgr</w:t>
      </w:r>
      <w:proofErr w:type="spellEnd"/>
      <w:r>
        <w:t xml:space="preserve"> from a budgetary </w:t>
      </w:r>
      <w:proofErr w:type="gramStart"/>
      <w:r>
        <w:t>view point</w:t>
      </w:r>
      <w:proofErr w:type="gramEnd"/>
      <w:r>
        <w:t xml:space="preserve"> and not UMM. This has implications for mine ventilation planning.</w:t>
      </w:r>
    </w:p>
    <w:p w14:paraId="27887324" w14:textId="77777777" w:rsidR="007D6623" w:rsidRDefault="00425CFA">
      <w:pPr>
        <w:spacing w:after="135"/>
        <w:ind w:left="245" w:right="96"/>
      </w:pPr>
      <w:r>
        <w:t xml:space="preserve">o Periodic site wide alcohol testing has never been done as required in the </w:t>
      </w:r>
      <w:proofErr w:type="gramStart"/>
      <w:r>
        <w:t>MOP</w:t>
      </w:r>
      <w:proofErr w:type="gramEnd"/>
    </w:p>
    <w:p w14:paraId="38B5F6C8" w14:textId="77777777" w:rsidR="007D6623" w:rsidRDefault="00425CFA">
      <w:pPr>
        <w:spacing w:after="161"/>
        <w:ind w:left="470" w:right="96" w:hanging="235"/>
      </w:pPr>
      <w:r>
        <w:rPr>
          <w:noProof/>
        </w:rPr>
        <w:drawing>
          <wp:inline distT="0" distB="0" distL="0" distR="0" wp14:anchorId="7A75BA54" wp14:editId="117A18C3">
            <wp:extent cx="67056" cy="70124"/>
            <wp:effectExtent l="0" t="0" r="0" b="0"/>
            <wp:docPr id="5823" name="Picture 5823"/>
            <wp:cNvGraphicFramePr/>
            <a:graphic xmlns:a="http://schemas.openxmlformats.org/drawingml/2006/main">
              <a:graphicData uri="http://schemas.openxmlformats.org/drawingml/2006/picture">
                <pic:pic xmlns:pic="http://schemas.openxmlformats.org/drawingml/2006/picture">
                  <pic:nvPicPr>
                    <pic:cNvPr id="5823" name="Picture 5823"/>
                    <pic:cNvPicPr/>
                  </pic:nvPicPr>
                  <pic:blipFill>
                    <a:blip r:embed="rId8"/>
                    <a:stretch>
                      <a:fillRect/>
                    </a:stretch>
                  </pic:blipFill>
                  <pic:spPr>
                    <a:xfrm>
                      <a:off x="0" y="0"/>
                      <a:ext cx="67056" cy="70124"/>
                    </a:xfrm>
                    <a:prstGeom prst="rect">
                      <a:avLst/>
                    </a:prstGeom>
                  </pic:spPr>
                </pic:pic>
              </a:graphicData>
            </a:graphic>
          </wp:inline>
        </w:drawing>
      </w:r>
      <w:r>
        <w:t xml:space="preserve"> Truly random alcohol testing to be conducted. Samples are more likely to be selected from surface crews. Opportunity to introduce truly random sampling </w:t>
      </w:r>
      <w:proofErr w:type="gramStart"/>
      <w:r>
        <w:t>process</w:t>
      </w:r>
      <w:proofErr w:type="gramEnd"/>
    </w:p>
    <w:p w14:paraId="37C9342B" w14:textId="77777777" w:rsidR="007D6623" w:rsidRDefault="00425CFA">
      <w:pPr>
        <w:spacing w:after="168"/>
        <w:ind w:left="475" w:right="96" w:hanging="240"/>
      </w:pPr>
      <w:r>
        <w:rPr>
          <w:noProof/>
        </w:rPr>
        <w:drawing>
          <wp:inline distT="0" distB="0" distL="0" distR="0" wp14:anchorId="1414A837" wp14:editId="7786025F">
            <wp:extent cx="64008" cy="67075"/>
            <wp:effectExtent l="0" t="0" r="0" b="0"/>
            <wp:docPr id="5824" name="Picture 5824"/>
            <wp:cNvGraphicFramePr/>
            <a:graphic xmlns:a="http://schemas.openxmlformats.org/drawingml/2006/main">
              <a:graphicData uri="http://schemas.openxmlformats.org/drawingml/2006/picture">
                <pic:pic xmlns:pic="http://schemas.openxmlformats.org/drawingml/2006/picture">
                  <pic:nvPicPr>
                    <pic:cNvPr id="5824" name="Picture 5824"/>
                    <pic:cNvPicPr/>
                  </pic:nvPicPr>
                  <pic:blipFill>
                    <a:blip r:embed="rId9"/>
                    <a:stretch>
                      <a:fillRect/>
                    </a:stretch>
                  </pic:blipFill>
                  <pic:spPr>
                    <a:xfrm>
                      <a:off x="0" y="0"/>
                      <a:ext cx="64008" cy="67075"/>
                    </a:xfrm>
                    <a:prstGeom prst="rect">
                      <a:avLst/>
                    </a:prstGeom>
                  </pic:spPr>
                </pic:pic>
              </a:graphicData>
            </a:graphic>
          </wp:inline>
        </w:drawing>
      </w:r>
      <w:r>
        <w:t xml:space="preserve"> Individuals are required to sign off on the "Cardinal Rules</w:t>
      </w:r>
      <w:proofErr w:type="gramStart"/>
      <w:r>
        <w:t>" .</w:t>
      </w:r>
      <w:proofErr w:type="gramEnd"/>
      <w:r>
        <w:t xml:space="preserve"> Require individuals to also sign of on the SHMS.</w:t>
      </w:r>
    </w:p>
    <w:p w14:paraId="3CE32379" w14:textId="77777777" w:rsidR="007D6623" w:rsidRDefault="00425CFA">
      <w:pPr>
        <w:spacing w:after="162"/>
        <w:ind w:left="470" w:hanging="245"/>
        <w:jc w:val="left"/>
      </w:pPr>
      <w:r>
        <w:rPr>
          <w:noProof/>
        </w:rPr>
        <w:drawing>
          <wp:inline distT="0" distB="0" distL="0" distR="0" wp14:anchorId="6B15DFC9" wp14:editId="413703CD">
            <wp:extent cx="64008" cy="67075"/>
            <wp:effectExtent l="0" t="0" r="0" b="0"/>
            <wp:docPr id="5825" name="Picture 5825"/>
            <wp:cNvGraphicFramePr/>
            <a:graphic xmlns:a="http://schemas.openxmlformats.org/drawingml/2006/main">
              <a:graphicData uri="http://schemas.openxmlformats.org/drawingml/2006/picture">
                <pic:pic xmlns:pic="http://schemas.openxmlformats.org/drawingml/2006/picture">
                  <pic:nvPicPr>
                    <pic:cNvPr id="5825" name="Picture 5825"/>
                    <pic:cNvPicPr/>
                  </pic:nvPicPr>
                  <pic:blipFill>
                    <a:blip r:embed="rId10"/>
                    <a:stretch>
                      <a:fillRect/>
                    </a:stretch>
                  </pic:blipFill>
                  <pic:spPr>
                    <a:xfrm>
                      <a:off x="0" y="0"/>
                      <a:ext cx="64008" cy="67075"/>
                    </a:xfrm>
                    <a:prstGeom prst="rect">
                      <a:avLst/>
                    </a:prstGeom>
                  </pic:spPr>
                </pic:pic>
              </a:graphicData>
            </a:graphic>
          </wp:inline>
        </w:drawing>
      </w:r>
      <w:r>
        <w:t xml:space="preserve"> Develop a formal process for assessing the competencies of CMW's before they are appointed </w:t>
      </w:r>
      <w:proofErr w:type="spellStart"/>
      <w:r>
        <w:t>e.g</w:t>
      </w:r>
      <w:proofErr w:type="spellEnd"/>
      <w:r>
        <w:t xml:space="preserve"> the VO is appointed but there is no evidence of an assessment of competency.</w:t>
      </w:r>
    </w:p>
    <w:p w14:paraId="70D4A83A" w14:textId="77777777" w:rsidR="007D6623" w:rsidRDefault="00425CFA">
      <w:pPr>
        <w:spacing w:after="184"/>
        <w:ind w:left="480" w:right="96" w:hanging="245"/>
      </w:pPr>
      <w:r>
        <w:rPr>
          <w:noProof/>
        </w:rPr>
        <w:drawing>
          <wp:inline distT="0" distB="0" distL="0" distR="0" wp14:anchorId="7699AAF5" wp14:editId="004070E5">
            <wp:extent cx="67056" cy="70124"/>
            <wp:effectExtent l="0" t="0" r="0" b="0"/>
            <wp:docPr id="5826" name="Picture 5826"/>
            <wp:cNvGraphicFramePr/>
            <a:graphic xmlns:a="http://schemas.openxmlformats.org/drawingml/2006/main">
              <a:graphicData uri="http://schemas.openxmlformats.org/drawingml/2006/picture">
                <pic:pic xmlns:pic="http://schemas.openxmlformats.org/drawingml/2006/picture">
                  <pic:nvPicPr>
                    <pic:cNvPr id="5826" name="Picture 5826"/>
                    <pic:cNvPicPr/>
                  </pic:nvPicPr>
                  <pic:blipFill>
                    <a:blip r:embed="rId11"/>
                    <a:stretch>
                      <a:fillRect/>
                    </a:stretch>
                  </pic:blipFill>
                  <pic:spPr>
                    <a:xfrm>
                      <a:off x="0" y="0"/>
                      <a:ext cx="67056" cy="70124"/>
                    </a:xfrm>
                    <a:prstGeom prst="rect">
                      <a:avLst/>
                    </a:prstGeom>
                  </pic:spPr>
                </pic:pic>
              </a:graphicData>
            </a:graphic>
          </wp:inline>
        </w:drawing>
      </w:r>
      <w:r>
        <w:t xml:space="preserve"> Develop a formal system for conducting, </w:t>
      </w:r>
      <w:proofErr w:type="gramStart"/>
      <w:r>
        <w:t>reviewing</w:t>
      </w:r>
      <w:proofErr w:type="gramEnd"/>
      <w:r>
        <w:t xml:space="preserve"> and using the information generated by the BBRA.</w:t>
      </w:r>
    </w:p>
    <w:p w14:paraId="2946C005" w14:textId="77777777" w:rsidR="007D6623" w:rsidRDefault="00425CFA">
      <w:pPr>
        <w:spacing w:after="169"/>
        <w:ind w:left="470" w:right="96" w:hanging="235"/>
      </w:pPr>
      <w:r>
        <w:rPr>
          <w:noProof/>
        </w:rPr>
        <w:drawing>
          <wp:inline distT="0" distB="0" distL="0" distR="0" wp14:anchorId="4337A648" wp14:editId="48F2EEA0">
            <wp:extent cx="67056" cy="67075"/>
            <wp:effectExtent l="0" t="0" r="0" b="0"/>
            <wp:docPr id="5827" name="Picture 5827"/>
            <wp:cNvGraphicFramePr/>
            <a:graphic xmlns:a="http://schemas.openxmlformats.org/drawingml/2006/main">
              <a:graphicData uri="http://schemas.openxmlformats.org/drawingml/2006/picture">
                <pic:pic xmlns:pic="http://schemas.openxmlformats.org/drawingml/2006/picture">
                  <pic:nvPicPr>
                    <pic:cNvPr id="5827" name="Picture 5827"/>
                    <pic:cNvPicPr/>
                  </pic:nvPicPr>
                  <pic:blipFill>
                    <a:blip r:embed="rId12"/>
                    <a:stretch>
                      <a:fillRect/>
                    </a:stretch>
                  </pic:blipFill>
                  <pic:spPr>
                    <a:xfrm>
                      <a:off x="0" y="0"/>
                      <a:ext cx="67056" cy="67075"/>
                    </a:xfrm>
                    <a:prstGeom prst="rect">
                      <a:avLst/>
                    </a:prstGeom>
                  </pic:spPr>
                </pic:pic>
              </a:graphicData>
            </a:graphic>
          </wp:inline>
        </w:drawing>
      </w:r>
      <w:r>
        <w:t xml:space="preserve"> </w:t>
      </w:r>
      <w:proofErr w:type="spellStart"/>
      <w:r>
        <w:t>KPl's</w:t>
      </w:r>
      <w:proofErr w:type="spellEnd"/>
      <w:r>
        <w:t xml:space="preserve"> for senior management should also include responsibility for specific documents within the SHMS and the need to keep them within review date.</w:t>
      </w:r>
    </w:p>
    <w:p w14:paraId="1A41388A" w14:textId="77777777" w:rsidR="007D6623" w:rsidRDefault="00425CFA">
      <w:pPr>
        <w:spacing w:after="254" w:line="307" w:lineRule="auto"/>
        <w:ind w:left="475" w:right="96" w:hanging="240"/>
      </w:pPr>
      <w:r>
        <w:rPr>
          <w:noProof/>
        </w:rPr>
        <w:drawing>
          <wp:inline distT="0" distB="0" distL="0" distR="0" wp14:anchorId="2AB94984" wp14:editId="21461B2E">
            <wp:extent cx="64008" cy="64026"/>
            <wp:effectExtent l="0" t="0" r="0" b="0"/>
            <wp:docPr id="5828" name="Picture 5828"/>
            <wp:cNvGraphicFramePr/>
            <a:graphic xmlns:a="http://schemas.openxmlformats.org/drawingml/2006/main">
              <a:graphicData uri="http://schemas.openxmlformats.org/drawingml/2006/picture">
                <pic:pic xmlns:pic="http://schemas.openxmlformats.org/drawingml/2006/picture">
                  <pic:nvPicPr>
                    <pic:cNvPr id="5828" name="Picture 5828"/>
                    <pic:cNvPicPr/>
                  </pic:nvPicPr>
                  <pic:blipFill>
                    <a:blip r:embed="rId13"/>
                    <a:stretch>
                      <a:fillRect/>
                    </a:stretch>
                  </pic:blipFill>
                  <pic:spPr>
                    <a:xfrm>
                      <a:off x="0" y="0"/>
                      <a:ext cx="64008" cy="64026"/>
                    </a:xfrm>
                    <a:prstGeom prst="rect">
                      <a:avLst/>
                    </a:prstGeom>
                  </pic:spPr>
                </pic:pic>
              </a:graphicData>
            </a:graphic>
          </wp:inline>
        </w:drawing>
      </w:r>
      <w:r>
        <w:t xml:space="preserve"> Implement feedback mechanism of actions completed from hazard reports, PIMS, ICAMs etc.</w:t>
      </w:r>
    </w:p>
    <w:p w14:paraId="5322CCDD" w14:textId="77777777" w:rsidR="007D6623" w:rsidRDefault="00425CFA">
      <w:pPr>
        <w:spacing w:after="169"/>
        <w:ind w:left="485" w:right="96" w:hanging="250"/>
      </w:pPr>
      <w:r>
        <w:rPr>
          <w:noProof/>
        </w:rPr>
        <w:drawing>
          <wp:inline distT="0" distB="0" distL="0" distR="0" wp14:anchorId="198D7F77" wp14:editId="645FC435">
            <wp:extent cx="67056" cy="64026"/>
            <wp:effectExtent l="0" t="0" r="0" b="0"/>
            <wp:docPr id="5829" name="Picture 5829"/>
            <wp:cNvGraphicFramePr/>
            <a:graphic xmlns:a="http://schemas.openxmlformats.org/drawingml/2006/main">
              <a:graphicData uri="http://schemas.openxmlformats.org/drawingml/2006/picture">
                <pic:pic xmlns:pic="http://schemas.openxmlformats.org/drawingml/2006/picture">
                  <pic:nvPicPr>
                    <pic:cNvPr id="5829" name="Picture 5829"/>
                    <pic:cNvPicPr/>
                  </pic:nvPicPr>
                  <pic:blipFill>
                    <a:blip r:embed="rId14"/>
                    <a:stretch>
                      <a:fillRect/>
                    </a:stretch>
                  </pic:blipFill>
                  <pic:spPr>
                    <a:xfrm>
                      <a:off x="0" y="0"/>
                      <a:ext cx="67056" cy="64026"/>
                    </a:xfrm>
                    <a:prstGeom prst="rect">
                      <a:avLst/>
                    </a:prstGeom>
                  </pic:spPr>
                </pic:pic>
              </a:graphicData>
            </a:graphic>
          </wp:inline>
        </w:drawing>
      </w:r>
      <w:r>
        <w:t xml:space="preserve"> Appoint a position in the management structure as document controller to correct the many document control issues.</w:t>
      </w:r>
    </w:p>
    <w:p w14:paraId="791A261B" w14:textId="77777777" w:rsidR="007D6623" w:rsidRDefault="00425CFA">
      <w:pPr>
        <w:spacing w:after="170"/>
        <w:ind w:left="408" w:right="96" w:hanging="235"/>
      </w:pPr>
      <w:r>
        <w:rPr>
          <w:noProof/>
        </w:rPr>
        <w:drawing>
          <wp:inline distT="0" distB="0" distL="0" distR="0" wp14:anchorId="48F70623" wp14:editId="47B3413C">
            <wp:extent cx="67056" cy="67075"/>
            <wp:effectExtent l="0" t="0" r="0" b="0"/>
            <wp:docPr id="5830" name="Picture 5830"/>
            <wp:cNvGraphicFramePr/>
            <a:graphic xmlns:a="http://schemas.openxmlformats.org/drawingml/2006/main">
              <a:graphicData uri="http://schemas.openxmlformats.org/drawingml/2006/picture">
                <pic:pic xmlns:pic="http://schemas.openxmlformats.org/drawingml/2006/picture">
                  <pic:nvPicPr>
                    <pic:cNvPr id="5830" name="Picture 5830"/>
                    <pic:cNvPicPr/>
                  </pic:nvPicPr>
                  <pic:blipFill>
                    <a:blip r:embed="rId15"/>
                    <a:stretch>
                      <a:fillRect/>
                    </a:stretch>
                  </pic:blipFill>
                  <pic:spPr>
                    <a:xfrm>
                      <a:off x="0" y="0"/>
                      <a:ext cx="67056" cy="67075"/>
                    </a:xfrm>
                    <a:prstGeom prst="rect">
                      <a:avLst/>
                    </a:prstGeom>
                  </pic:spPr>
                </pic:pic>
              </a:graphicData>
            </a:graphic>
          </wp:inline>
        </w:drawing>
      </w:r>
      <w:r>
        <w:t xml:space="preserve"> Develop emergency sealing infrastructure in the underground mine, including the ventilation shaft.</w:t>
      </w:r>
    </w:p>
    <w:p w14:paraId="7B34C241" w14:textId="77777777" w:rsidR="007D6623" w:rsidRDefault="00425CFA">
      <w:pPr>
        <w:spacing w:after="252"/>
        <w:ind w:left="178" w:right="96"/>
      </w:pPr>
      <w:r>
        <w:rPr>
          <w:noProof/>
        </w:rPr>
        <w:drawing>
          <wp:inline distT="0" distB="0" distL="0" distR="0" wp14:anchorId="42DA7071" wp14:editId="51186A21">
            <wp:extent cx="64008" cy="64027"/>
            <wp:effectExtent l="0" t="0" r="0" b="0"/>
            <wp:docPr id="5831" name="Picture 5831"/>
            <wp:cNvGraphicFramePr/>
            <a:graphic xmlns:a="http://schemas.openxmlformats.org/drawingml/2006/main">
              <a:graphicData uri="http://schemas.openxmlformats.org/drawingml/2006/picture">
                <pic:pic xmlns:pic="http://schemas.openxmlformats.org/drawingml/2006/picture">
                  <pic:nvPicPr>
                    <pic:cNvPr id="5831" name="Picture 5831"/>
                    <pic:cNvPicPr/>
                  </pic:nvPicPr>
                  <pic:blipFill>
                    <a:blip r:embed="rId16"/>
                    <a:stretch>
                      <a:fillRect/>
                    </a:stretch>
                  </pic:blipFill>
                  <pic:spPr>
                    <a:xfrm>
                      <a:off x="0" y="0"/>
                      <a:ext cx="64008" cy="64027"/>
                    </a:xfrm>
                    <a:prstGeom prst="rect">
                      <a:avLst/>
                    </a:prstGeom>
                  </pic:spPr>
                </pic:pic>
              </a:graphicData>
            </a:graphic>
          </wp:inline>
        </w:drawing>
      </w:r>
      <w:r>
        <w:t xml:space="preserve"> Provide documents in accessible places for CMW's.</w:t>
      </w:r>
    </w:p>
    <w:p w14:paraId="320D3FE9" w14:textId="77777777" w:rsidR="007D6623" w:rsidRDefault="00425CFA">
      <w:pPr>
        <w:spacing w:after="297"/>
        <w:ind w:left="44" w:right="96"/>
      </w:pPr>
      <w:r>
        <w:t xml:space="preserve">A telephone conference was conducted by the lead auditor with the SSE, with the UMM present in the room at the </w:t>
      </w:r>
      <w:proofErr w:type="spellStart"/>
      <w:proofErr w:type="gramStart"/>
      <w:r>
        <w:t>mine,on</w:t>
      </w:r>
      <w:proofErr w:type="spellEnd"/>
      <w:proofErr w:type="gramEnd"/>
      <w:r>
        <w:t xml:space="preserve"> the evening of the 13th of March where the Site Senior Executive, Mr Mike Carter, to the proposed Mandatory and Recommended corrective actions. (A further face to face meeting between the SSE and the Lead Auditor was conducted at the Mary St Office on Monday 17th March where the SSE signed off on all Mandatory and Recommended corrective actions).</w:t>
      </w:r>
    </w:p>
    <w:p w14:paraId="415990B5" w14:textId="77777777" w:rsidR="007D6623" w:rsidRDefault="00425CFA">
      <w:pPr>
        <w:spacing w:after="136"/>
        <w:ind w:left="24" w:right="96"/>
      </w:pPr>
      <w:r>
        <w:lastRenderedPageBreak/>
        <w:t xml:space="preserve">An exit meeting was conducted on the morning of the </w:t>
      </w:r>
      <w:proofErr w:type="gramStart"/>
      <w:r>
        <w:t>14th</w:t>
      </w:r>
      <w:proofErr w:type="gramEnd"/>
      <w:r>
        <w:t xml:space="preserve"> March at 8:00am and was attended by the audit team and the following </w:t>
      </w:r>
      <w:proofErr w:type="spellStart"/>
      <w:r>
        <w:t>Carborough</w:t>
      </w:r>
      <w:proofErr w:type="spellEnd"/>
      <w:r>
        <w:t xml:space="preserve"> Downs personnel:</w:t>
      </w:r>
    </w:p>
    <w:p w14:paraId="24113909" w14:textId="77777777" w:rsidR="007D6623" w:rsidRDefault="00425CFA">
      <w:pPr>
        <w:spacing w:after="266"/>
        <w:ind w:left="14" w:right="96" w:firstLine="72"/>
      </w:pPr>
      <w:r>
        <w:t xml:space="preserve">Michael Webber, Mark Scully, Samantha McGrath, Trevor </w:t>
      </w:r>
      <w:proofErr w:type="spellStart"/>
      <w:r>
        <w:t>Oyston</w:t>
      </w:r>
      <w:proofErr w:type="spellEnd"/>
      <w:r>
        <w:t xml:space="preserve">, Colin Nevins, Rick Mead, John Smith, </w:t>
      </w:r>
      <w:proofErr w:type="spellStart"/>
      <w:r>
        <w:t>Marhdus</w:t>
      </w:r>
      <w:proofErr w:type="spellEnd"/>
      <w:r>
        <w:t xml:space="preserve"> </w:t>
      </w:r>
      <w:proofErr w:type="spellStart"/>
      <w:r>
        <w:t>Uys</w:t>
      </w:r>
      <w:proofErr w:type="spellEnd"/>
      <w:r>
        <w:t xml:space="preserve">, Elizabeth </w:t>
      </w:r>
      <w:proofErr w:type="spellStart"/>
      <w:r>
        <w:t>Marnane</w:t>
      </w:r>
      <w:proofErr w:type="spellEnd"/>
      <w:r>
        <w:t>, Marek Romanski, Steve Jones, Shane Apps.</w:t>
      </w:r>
    </w:p>
    <w:p w14:paraId="43C5DA79" w14:textId="77777777" w:rsidR="007D6623" w:rsidRDefault="00425CFA">
      <w:pPr>
        <w:spacing w:after="203"/>
        <w:ind w:left="10" w:right="96"/>
      </w:pPr>
      <w:r>
        <w:t>A presentation was conducted by the lead auditor Mr Albury explaining the process of the audit and a summary of the findings.</w:t>
      </w:r>
    </w:p>
    <w:p w14:paraId="185B2362" w14:textId="77777777" w:rsidR="007D6623" w:rsidRDefault="00425CFA">
      <w:pPr>
        <w:spacing w:after="267"/>
        <w:ind w:left="10" w:right="96"/>
      </w:pPr>
      <w:r>
        <w:t>The audit report will be forwarded to the mine within 21 days. This report will form part of the mine record.</w:t>
      </w:r>
    </w:p>
    <w:p w14:paraId="7B692EC1" w14:textId="77777777" w:rsidR="007D6623" w:rsidRDefault="00425CFA">
      <w:pPr>
        <w:ind w:left="15" w:right="96"/>
      </w:pPr>
      <w:r>
        <w:t>Inspector Dobson will continue to monitor the follow up actions.</w:t>
      </w:r>
    </w:p>
    <w:p w14:paraId="0D339F3F" w14:textId="77777777" w:rsidR="007D6623" w:rsidRDefault="00425CFA">
      <w:pPr>
        <w:ind w:left="159" w:right="96"/>
      </w:pPr>
      <w:r>
        <w:t>The audit team recognise the assistance provided by the mine in the conduct of the audit and offer our appreciation for that assistance.</w:t>
      </w:r>
    </w:p>
    <w:p w14:paraId="1070F48E" w14:textId="77777777" w:rsidR="007D6623" w:rsidRDefault="00425CFA">
      <w:pPr>
        <w:spacing w:after="50" w:line="216" w:lineRule="auto"/>
        <w:ind w:left="148" w:right="4598" w:firstLine="0"/>
        <w:jc w:val="left"/>
      </w:pPr>
      <w:r>
        <w:rPr>
          <w:noProof/>
        </w:rPr>
        <w:drawing>
          <wp:anchor distT="0" distB="0" distL="114300" distR="114300" simplePos="0" relativeHeight="251660288" behindDoc="0" locked="0" layoutInCell="1" allowOverlap="0" wp14:anchorId="30AC4DFA" wp14:editId="5D384F6D">
            <wp:simplePos x="0" y="0"/>
            <wp:positionH relativeFrom="column">
              <wp:posOffset>1493520</wp:posOffset>
            </wp:positionH>
            <wp:positionV relativeFrom="paragraph">
              <wp:posOffset>-12194</wp:posOffset>
            </wp:positionV>
            <wp:extent cx="1453896" cy="570138"/>
            <wp:effectExtent l="0" t="0" r="0" b="0"/>
            <wp:wrapSquare wrapText="bothSides"/>
            <wp:docPr id="6792" name="Picture 6792"/>
            <wp:cNvGraphicFramePr/>
            <a:graphic xmlns:a="http://schemas.openxmlformats.org/drawingml/2006/main">
              <a:graphicData uri="http://schemas.openxmlformats.org/drawingml/2006/picture">
                <pic:pic xmlns:pic="http://schemas.openxmlformats.org/drawingml/2006/picture">
                  <pic:nvPicPr>
                    <pic:cNvPr id="6792" name="Picture 6792"/>
                    <pic:cNvPicPr/>
                  </pic:nvPicPr>
                  <pic:blipFill>
                    <a:blip r:embed="rId17"/>
                    <a:stretch>
                      <a:fillRect/>
                    </a:stretch>
                  </pic:blipFill>
                  <pic:spPr>
                    <a:xfrm>
                      <a:off x="0" y="0"/>
                      <a:ext cx="1453896" cy="570138"/>
                    </a:xfrm>
                    <a:prstGeom prst="rect">
                      <a:avLst/>
                    </a:prstGeom>
                  </pic:spPr>
                </pic:pic>
              </a:graphicData>
            </a:graphic>
          </wp:anchor>
        </w:drawing>
      </w:r>
      <w:r>
        <w:rPr>
          <w:sz w:val="28"/>
        </w:rPr>
        <w:t>Russell Albury</w:t>
      </w:r>
    </w:p>
    <w:p w14:paraId="586295B2" w14:textId="77777777" w:rsidR="007D6623" w:rsidRDefault="00425CFA">
      <w:pPr>
        <w:spacing w:after="39"/>
        <w:ind w:left="154" w:right="4598"/>
      </w:pPr>
      <w:r>
        <w:t>Lead Auditor</w:t>
      </w:r>
    </w:p>
    <w:p w14:paraId="5915AAA6" w14:textId="77777777" w:rsidR="007D6623" w:rsidRDefault="00425CFA">
      <w:pPr>
        <w:spacing w:after="39"/>
        <w:ind w:left="154" w:right="4598"/>
      </w:pPr>
      <w:r>
        <w:t>Inspector of Mines</w:t>
      </w:r>
    </w:p>
    <w:p w14:paraId="2F408C1B" w14:textId="77777777" w:rsidR="007D6623" w:rsidRDefault="00425CFA">
      <w:pPr>
        <w:ind w:left="144" w:right="4598"/>
      </w:pPr>
      <w:r>
        <w:t>Central Region</w:t>
      </w:r>
    </w:p>
    <w:sectPr w:rsidR="007D6623">
      <w:footerReference w:type="even" r:id="rId18"/>
      <w:footerReference w:type="default" r:id="rId19"/>
      <w:footerReference w:type="first" r:id="rId20"/>
      <w:pgSz w:w="11904" w:h="16838"/>
      <w:pgMar w:top="1402" w:right="1354" w:bottom="1487" w:left="1310" w:header="72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A391" w14:textId="77777777" w:rsidR="00B640D6" w:rsidRDefault="00B640D6">
      <w:pPr>
        <w:spacing w:after="0" w:line="240" w:lineRule="auto"/>
      </w:pPr>
      <w:r>
        <w:separator/>
      </w:r>
    </w:p>
  </w:endnote>
  <w:endnote w:type="continuationSeparator" w:id="0">
    <w:p w14:paraId="4A53F40B" w14:textId="77777777" w:rsidR="00B640D6" w:rsidRDefault="00B6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6B15" w14:textId="77777777" w:rsidR="007D6623" w:rsidRDefault="00425CFA">
    <w:pPr>
      <w:tabs>
        <w:tab w:val="center" w:pos="4601"/>
        <w:tab w:val="right" w:pos="9240"/>
      </w:tabs>
      <w:spacing w:after="0" w:line="259" w:lineRule="auto"/>
      <w:ind w:left="0" w:firstLine="0"/>
      <w:jc w:val="left"/>
    </w:pPr>
    <w:r>
      <w:rPr>
        <w:sz w:val="18"/>
      </w:rPr>
      <w:t>09/04/2014</w:t>
    </w:r>
    <w:r>
      <w:rPr>
        <w:sz w:val="18"/>
      </w:rPr>
      <w:tab/>
    </w:r>
    <w:r>
      <w:rPr>
        <w:sz w:val="16"/>
      </w:rPr>
      <w:t xml:space="preserve">Mine </w:t>
    </w:r>
    <w:r>
      <w:rPr>
        <w:sz w:val="18"/>
      </w:rPr>
      <w:t>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rsidR="00B640D6">
      <w:fldChar w:fldCharType="begin"/>
    </w:r>
    <w:r w:rsidR="00B640D6">
      <w:instrText xml:space="preserve"> NUMPAGES   \* MERGEFORMAT </w:instrText>
    </w:r>
    <w:r w:rsidR="00B640D6">
      <w:fldChar w:fldCharType="separate"/>
    </w:r>
    <w:r>
      <w:rPr>
        <w:sz w:val="18"/>
      </w:rPr>
      <w:t>3</w:t>
    </w:r>
    <w:r w:rsidR="00B640D6">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98A0" w14:textId="77777777" w:rsidR="007D6623" w:rsidRDefault="00425CFA">
    <w:pPr>
      <w:tabs>
        <w:tab w:val="center" w:pos="4601"/>
        <w:tab w:val="right" w:pos="9240"/>
      </w:tabs>
      <w:spacing w:after="0" w:line="259" w:lineRule="auto"/>
      <w:ind w:left="0" w:firstLine="0"/>
      <w:jc w:val="left"/>
    </w:pPr>
    <w:r>
      <w:rPr>
        <w:sz w:val="18"/>
      </w:rPr>
      <w:t>09/04/2014</w:t>
    </w:r>
    <w:r>
      <w:rPr>
        <w:sz w:val="18"/>
      </w:rPr>
      <w:tab/>
    </w:r>
    <w:r>
      <w:rPr>
        <w:sz w:val="16"/>
      </w:rPr>
      <w:t xml:space="preserve">Mine </w:t>
    </w:r>
    <w:r>
      <w:rPr>
        <w:sz w:val="18"/>
      </w:rPr>
      <w:t>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rsidR="00B640D6">
      <w:fldChar w:fldCharType="begin"/>
    </w:r>
    <w:r w:rsidR="00B640D6">
      <w:instrText xml:space="preserve"> NUMPAGES   \* MERGEFORMAT </w:instrText>
    </w:r>
    <w:r w:rsidR="00B640D6">
      <w:fldChar w:fldCharType="separate"/>
    </w:r>
    <w:r>
      <w:rPr>
        <w:sz w:val="18"/>
      </w:rPr>
      <w:t>3</w:t>
    </w:r>
    <w:r w:rsidR="00B640D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DDB8" w14:textId="77777777" w:rsidR="007D6623" w:rsidRDefault="00425CFA">
    <w:pPr>
      <w:tabs>
        <w:tab w:val="center" w:pos="4601"/>
        <w:tab w:val="right" w:pos="9240"/>
      </w:tabs>
      <w:spacing w:after="0" w:line="259" w:lineRule="auto"/>
      <w:ind w:left="0" w:firstLine="0"/>
      <w:jc w:val="left"/>
    </w:pPr>
    <w:r>
      <w:rPr>
        <w:sz w:val="18"/>
      </w:rPr>
      <w:t>09/04/2014</w:t>
    </w:r>
    <w:r>
      <w:rPr>
        <w:sz w:val="18"/>
      </w:rPr>
      <w:tab/>
    </w:r>
    <w:r>
      <w:rPr>
        <w:sz w:val="16"/>
      </w:rPr>
      <w:t xml:space="preserve">Mine </w:t>
    </w:r>
    <w:r>
      <w:rPr>
        <w:sz w:val="18"/>
      </w:rPr>
      <w:t>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rsidR="00B640D6">
      <w:fldChar w:fldCharType="begin"/>
    </w:r>
    <w:r w:rsidR="00B640D6">
      <w:instrText xml:space="preserve"> NUMPAGES   \* MERGEFORMAT </w:instrText>
    </w:r>
    <w:r w:rsidR="00B640D6">
      <w:fldChar w:fldCharType="separate"/>
    </w:r>
    <w:r>
      <w:rPr>
        <w:sz w:val="18"/>
      </w:rPr>
      <w:t>3</w:t>
    </w:r>
    <w:r w:rsidR="00B640D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8CFB6" w14:textId="77777777" w:rsidR="00B640D6" w:rsidRDefault="00B640D6">
      <w:pPr>
        <w:spacing w:after="0" w:line="240" w:lineRule="auto"/>
      </w:pPr>
      <w:r>
        <w:separator/>
      </w:r>
    </w:p>
  </w:footnote>
  <w:footnote w:type="continuationSeparator" w:id="0">
    <w:p w14:paraId="68E76655" w14:textId="77777777" w:rsidR="00B640D6" w:rsidRDefault="00B64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5D5B"/>
    <w:multiLevelType w:val="hybridMultilevel"/>
    <w:tmpl w:val="929C0032"/>
    <w:lvl w:ilvl="0" w:tplc="C76AB058">
      <w:start w:val="1"/>
      <w:numFmt w:val="bullet"/>
      <w:lvlText w:val="o"/>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789656">
      <w:start w:val="1"/>
      <w:numFmt w:val="bullet"/>
      <w:lvlText w:val="o"/>
      <w:lvlJc w:val="left"/>
      <w:pPr>
        <w:ind w:left="1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6A0C70">
      <w:start w:val="1"/>
      <w:numFmt w:val="bullet"/>
      <w:lvlText w:val="▪"/>
      <w:lvlJc w:val="left"/>
      <w:pPr>
        <w:ind w:left="1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70773E">
      <w:start w:val="1"/>
      <w:numFmt w:val="bullet"/>
      <w:lvlText w:val="•"/>
      <w:lvlJc w:val="left"/>
      <w:pPr>
        <w:ind w:left="2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E0325C">
      <w:start w:val="1"/>
      <w:numFmt w:val="bullet"/>
      <w:lvlText w:val="o"/>
      <w:lvlJc w:val="left"/>
      <w:pPr>
        <w:ind w:left="3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4277FC">
      <w:start w:val="1"/>
      <w:numFmt w:val="bullet"/>
      <w:lvlText w:val="▪"/>
      <w:lvlJc w:val="left"/>
      <w:pPr>
        <w:ind w:left="4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7A21F2">
      <w:start w:val="1"/>
      <w:numFmt w:val="bullet"/>
      <w:lvlText w:val="•"/>
      <w:lvlJc w:val="left"/>
      <w:pPr>
        <w:ind w:left="4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6695A0">
      <w:start w:val="1"/>
      <w:numFmt w:val="bullet"/>
      <w:lvlText w:val="o"/>
      <w:lvlJc w:val="left"/>
      <w:pPr>
        <w:ind w:left="5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FEDC9C">
      <w:start w:val="1"/>
      <w:numFmt w:val="bullet"/>
      <w:lvlText w:val="▪"/>
      <w:lvlJc w:val="left"/>
      <w:pPr>
        <w:ind w:left="6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3E4D12"/>
    <w:multiLevelType w:val="hybridMultilevel"/>
    <w:tmpl w:val="CF58F244"/>
    <w:lvl w:ilvl="0" w:tplc="BC5A68A8">
      <w:start w:val="1"/>
      <w:numFmt w:val="bullet"/>
      <w:lvlText w:val="o"/>
      <w:lvlJc w:val="left"/>
      <w:pPr>
        <w:ind w:left="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AC8DFE">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50212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C2FA46">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34CC02">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2CD830">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3EF4B2">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8C0896">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1E21B4">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23"/>
    <w:rsid w:val="00041B3B"/>
    <w:rsid w:val="00425CFA"/>
    <w:rsid w:val="006A2694"/>
    <w:rsid w:val="007D6623"/>
    <w:rsid w:val="008C5366"/>
    <w:rsid w:val="00971805"/>
    <w:rsid w:val="00B640D6"/>
    <w:rsid w:val="00E74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9B69"/>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21" w:lineRule="auto"/>
      <w:ind w:left="13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4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2021-02-14T05:23:00Z</dcterms:created>
  <dcterms:modified xsi:type="dcterms:W3CDTF">2021-02-14T05:23:00Z</dcterms:modified>
</cp:coreProperties>
</file>