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DA751" w14:textId="77777777" w:rsidR="00D51F05" w:rsidRDefault="00B539FD">
      <w:pPr>
        <w:spacing w:after="0"/>
        <w:ind w:left="2606"/>
        <w:jc w:val="center"/>
      </w:pPr>
      <w:r>
        <w:rPr>
          <w:sz w:val="18"/>
        </w:rPr>
        <w:t>Mackay Office</w:t>
      </w:r>
    </w:p>
    <w:p w14:paraId="67A8819A" w14:textId="77777777" w:rsidR="00D51F05" w:rsidRDefault="00B539FD">
      <w:pPr>
        <w:spacing w:after="0"/>
        <w:ind w:right="356"/>
        <w:jc w:val="right"/>
      </w:pPr>
      <w:r>
        <w:rPr>
          <w:sz w:val="18"/>
        </w:rPr>
        <w:t>P.O. Box 1801, Mackay QLD 4740</w:t>
      </w:r>
    </w:p>
    <w:p w14:paraId="4680CD1B" w14:textId="77777777" w:rsidR="00D51F05" w:rsidRDefault="00B539FD">
      <w:pPr>
        <w:tabs>
          <w:tab w:val="right" w:pos="7603"/>
        </w:tabs>
        <w:spacing w:after="223"/>
      </w:pPr>
      <w:r>
        <w:rPr>
          <w:sz w:val="18"/>
        </w:rPr>
        <w:t>Queensland Government</w:t>
      </w:r>
      <w:r>
        <w:rPr>
          <w:sz w:val="18"/>
        </w:rPr>
        <w:tab/>
        <w:t>Phone: 07 4999 8512, Fax: 07 4999 8519</w:t>
      </w:r>
    </w:p>
    <w:tbl>
      <w:tblPr>
        <w:tblStyle w:val="TableGrid"/>
        <w:tblW w:w="9176" w:type="dxa"/>
        <w:tblInd w:w="-809" w:type="dxa"/>
        <w:tblCellMar>
          <w:top w:w="47" w:type="dxa"/>
          <w:left w:w="0" w:type="dxa"/>
          <w:bottom w:w="0" w:type="dxa"/>
          <w:right w:w="36" w:type="dxa"/>
        </w:tblCellMar>
        <w:tblLook w:val="04A0" w:firstRow="1" w:lastRow="0" w:firstColumn="1" w:lastColumn="0" w:noHBand="0" w:noVBand="1"/>
      </w:tblPr>
      <w:tblGrid>
        <w:gridCol w:w="2833"/>
        <w:gridCol w:w="3358"/>
        <w:gridCol w:w="1841"/>
        <w:gridCol w:w="1144"/>
      </w:tblGrid>
      <w:tr w:rsidR="00D51F05" w14:paraId="5983672F" w14:textId="77777777">
        <w:trPr>
          <w:trHeight w:val="280"/>
        </w:trPr>
        <w:tc>
          <w:tcPr>
            <w:tcW w:w="2855" w:type="dxa"/>
            <w:tcBorders>
              <w:top w:val="single" w:sz="2" w:space="0" w:color="000000"/>
              <w:left w:val="nil"/>
              <w:bottom w:val="single" w:sz="2" w:space="0" w:color="000000"/>
              <w:right w:val="nil"/>
            </w:tcBorders>
          </w:tcPr>
          <w:p w14:paraId="56496EAE" w14:textId="77777777" w:rsidR="00D51F05" w:rsidRDefault="00B539FD">
            <w:pPr>
              <w:spacing w:after="0"/>
              <w:ind w:left="20"/>
            </w:pPr>
            <w:r>
              <w:t>Mine Name</w:t>
            </w:r>
          </w:p>
        </w:tc>
        <w:tc>
          <w:tcPr>
            <w:tcW w:w="3364" w:type="dxa"/>
            <w:tcBorders>
              <w:top w:val="single" w:sz="2" w:space="0" w:color="000000"/>
              <w:left w:val="nil"/>
              <w:bottom w:val="single" w:sz="2" w:space="0" w:color="000000"/>
              <w:right w:val="nil"/>
            </w:tcBorders>
          </w:tcPr>
          <w:p w14:paraId="5A27FC4D" w14:textId="77777777" w:rsidR="00D51F05" w:rsidRDefault="00B539FD">
            <w:pPr>
              <w:tabs>
                <w:tab w:val="center" w:pos="1771"/>
              </w:tabs>
              <w:spacing w:after="0"/>
            </w:pPr>
            <w:r>
              <w:rPr>
                <w:sz w:val="24"/>
              </w:rPr>
              <w:t>Mine ID</w:t>
            </w:r>
            <w:r>
              <w:rPr>
                <w:sz w:val="24"/>
              </w:rPr>
              <w:tab/>
              <w:t>Operator</w:t>
            </w:r>
          </w:p>
        </w:tc>
        <w:tc>
          <w:tcPr>
            <w:tcW w:w="1852" w:type="dxa"/>
            <w:tcBorders>
              <w:top w:val="single" w:sz="2" w:space="0" w:color="000000"/>
              <w:left w:val="nil"/>
              <w:bottom w:val="single" w:sz="2" w:space="0" w:color="000000"/>
              <w:right w:val="nil"/>
            </w:tcBorders>
          </w:tcPr>
          <w:p w14:paraId="4B06EFD0" w14:textId="77777777" w:rsidR="00D51F05" w:rsidRDefault="00B539FD">
            <w:pPr>
              <w:spacing w:after="0"/>
            </w:pPr>
            <w:r>
              <w:rPr>
                <w:sz w:val="24"/>
              </w:rPr>
              <w:t>Activity Type</w:t>
            </w:r>
          </w:p>
        </w:tc>
        <w:tc>
          <w:tcPr>
            <w:tcW w:w="1104" w:type="dxa"/>
            <w:tcBorders>
              <w:top w:val="single" w:sz="2" w:space="0" w:color="000000"/>
              <w:left w:val="nil"/>
              <w:bottom w:val="single" w:sz="2" w:space="0" w:color="000000"/>
              <w:right w:val="nil"/>
            </w:tcBorders>
          </w:tcPr>
          <w:p w14:paraId="642AD03C" w14:textId="77777777" w:rsidR="00D51F05" w:rsidRDefault="00B539FD">
            <w:pPr>
              <w:spacing w:after="0"/>
              <w:jc w:val="both"/>
            </w:pPr>
            <w:r>
              <w:t>Activity Date</w:t>
            </w:r>
          </w:p>
        </w:tc>
      </w:tr>
      <w:tr w:rsidR="00D51F05" w14:paraId="5D830978" w14:textId="77777777">
        <w:trPr>
          <w:trHeight w:val="492"/>
        </w:trPr>
        <w:tc>
          <w:tcPr>
            <w:tcW w:w="2855" w:type="dxa"/>
            <w:tcBorders>
              <w:top w:val="single" w:sz="2" w:space="0" w:color="000000"/>
              <w:left w:val="nil"/>
              <w:bottom w:val="single" w:sz="2" w:space="0" w:color="000000"/>
              <w:right w:val="nil"/>
            </w:tcBorders>
          </w:tcPr>
          <w:p w14:paraId="211A6AAA" w14:textId="77777777" w:rsidR="00D51F05" w:rsidRDefault="00B539FD">
            <w:pPr>
              <w:spacing w:after="0"/>
              <w:ind w:left="20"/>
            </w:pPr>
            <w:r>
              <w:t>North Goonyella</w:t>
            </w:r>
          </w:p>
        </w:tc>
        <w:tc>
          <w:tcPr>
            <w:tcW w:w="3364" w:type="dxa"/>
            <w:tcBorders>
              <w:top w:val="single" w:sz="2" w:space="0" w:color="000000"/>
              <w:left w:val="nil"/>
              <w:bottom w:val="single" w:sz="2" w:space="0" w:color="000000"/>
              <w:right w:val="nil"/>
            </w:tcBorders>
          </w:tcPr>
          <w:p w14:paraId="0D7AC784" w14:textId="77777777" w:rsidR="00D51F05" w:rsidRDefault="00B539FD">
            <w:pPr>
              <w:spacing w:after="0"/>
              <w:ind w:left="1664" w:right="331" w:hanging="1664"/>
            </w:pPr>
            <w:r>
              <w:t>MIOI 157 Peabody (Bowen) Pty Ltd</w:t>
            </w:r>
          </w:p>
        </w:tc>
        <w:tc>
          <w:tcPr>
            <w:tcW w:w="1852" w:type="dxa"/>
            <w:tcBorders>
              <w:top w:val="single" w:sz="2" w:space="0" w:color="000000"/>
              <w:left w:val="nil"/>
              <w:bottom w:val="single" w:sz="2" w:space="0" w:color="000000"/>
              <w:right w:val="nil"/>
            </w:tcBorders>
          </w:tcPr>
          <w:p w14:paraId="3A44B891" w14:textId="77777777" w:rsidR="00D51F05" w:rsidRDefault="00B539FD">
            <w:pPr>
              <w:spacing w:after="0"/>
              <w:ind w:left="71"/>
            </w:pPr>
            <w:r>
              <w:t>Site Meeting</w:t>
            </w:r>
          </w:p>
        </w:tc>
        <w:tc>
          <w:tcPr>
            <w:tcW w:w="1104" w:type="dxa"/>
            <w:tcBorders>
              <w:top w:val="single" w:sz="2" w:space="0" w:color="000000"/>
              <w:left w:val="nil"/>
              <w:bottom w:val="single" w:sz="2" w:space="0" w:color="000000"/>
              <w:right w:val="nil"/>
            </w:tcBorders>
          </w:tcPr>
          <w:p w14:paraId="7969738E" w14:textId="77777777" w:rsidR="00D51F05" w:rsidRDefault="00B539FD">
            <w:pPr>
              <w:spacing w:after="0"/>
              <w:ind w:left="46"/>
            </w:pPr>
            <w:r>
              <w:t>06/09/2018</w:t>
            </w:r>
          </w:p>
        </w:tc>
      </w:tr>
    </w:tbl>
    <w:p w14:paraId="070F163E" w14:textId="77777777" w:rsidR="00D51F05" w:rsidRDefault="00B539FD">
      <w:pPr>
        <w:spacing w:after="0"/>
        <w:ind w:left="-840" w:right="-911"/>
      </w:pPr>
      <w:r>
        <w:rPr>
          <w:noProof/>
        </w:rPr>
        <mc:AlternateContent>
          <mc:Choice Requires="wpg">
            <w:drawing>
              <wp:inline distT="0" distB="0" distL="0" distR="0" wp14:anchorId="24682164" wp14:editId="49D5BFD6">
                <wp:extent cx="5939795" cy="16159"/>
                <wp:effectExtent l="0" t="0" r="0" b="0"/>
                <wp:docPr id="11799" name="Group 11799"/>
                <wp:cNvGraphicFramePr/>
                <a:graphic xmlns:a="http://schemas.openxmlformats.org/drawingml/2006/main">
                  <a:graphicData uri="http://schemas.microsoft.com/office/word/2010/wordprocessingGroup">
                    <wpg:wgp>
                      <wpg:cNvGrpSpPr/>
                      <wpg:grpSpPr>
                        <a:xfrm>
                          <a:off x="0" y="0"/>
                          <a:ext cx="5939795" cy="16159"/>
                          <a:chOff x="0" y="0"/>
                          <a:chExt cx="5939795" cy="16159"/>
                        </a:xfrm>
                      </wpg:grpSpPr>
                      <wps:wsp>
                        <wps:cNvPr id="11798" name="Shape 11798"/>
                        <wps:cNvSpPr/>
                        <wps:spPr>
                          <a:xfrm>
                            <a:off x="0" y="0"/>
                            <a:ext cx="5939795" cy="16159"/>
                          </a:xfrm>
                          <a:custGeom>
                            <a:avLst/>
                            <a:gdLst/>
                            <a:ahLst/>
                            <a:cxnLst/>
                            <a:rect l="0" t="0" r="0" b="0"/>
                            <a:pathLst>
                              <a:path w="5939795" h="16159">
                                <a:moveTo>
                                  <a:pt x="0" y="8080"/>
                                </a:moveTo>
                                <a:lnTo>
                                  <a:pt x="5939795" y="8080"/>
                                </a:lnTo>
                              </a:path>
                            </a:pathLst>
                          </a:custGeom>
                          <a:ln w="1615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799" style="width:467.7pt;height:1.27237pt;mso-position-horizontal-relative:char;mso-position-vertical-relative:line" coordsize="59397,161">
                <v:shape id="Shape 11798" style="position:absolute;width:59397;height:161;left:0;top:0;" coordsize="5939795,16159" path="m0,8080l5939795,8080">
                  <v:stroke weight="1.27237pt" endcap="flat" joinstyle="miter" miterlimit="1" on="true" color="#000000"/>
                  <v:fill on="false" color="#000000"/>
                </v:shape>
              </v:group>
            </w:pict>
          </mc:Fallback>
        </mc:AlternateContent>
      </w:r>
    </w:p>
    <w:p w14:paraId="68D4ED3C" w14:textId="77777777" w:rsidR="00D51F05" w:rsidRDefault="00D51F05">
      <w:pPr>
        <w:sectPr w:rsidR="00D51F05">
          <w:pgSz w:w="11909" w:h="16841"/>
          <w:pgMar w:top="1801" w:right="2026" w:bottom="547" w:left="2280" w:header="720" w:footer="720" w:gutter="0"/>
          <w:cols w:space="720"/>
        </w:sectPr>
      </w:pPr>
    </w:p>
    <w:p w14:paraId="4B9E1726" w14:textId="77777777" w:rsidR="00D51F05" w:rsidRDefault="00B539FD">
      <w:pPr>
        <w:spacing w:after="335"/>
        <w:ind w:left="204"/>
        <w:jc w:val="center"/>
      </w:pPr>
      <w:r>
        <w:rPr>
          <w:sz w:val="20"/>
        </w:rPr>
        <w:t>Vision: Our Industries Free of Safety and Health Incidents</w:t>
      </w:r>
    </w:p>
    <w:p w14:paraId="0AEAEC6B" w14:textId="77777777" w:rsidR="00D51F05" w:rsidRDefault="00B539FD">
      <w:pPr>
        <w:pStyle w:val="Heading1"/>
      </w:pPr>
      <w:r>
        <w:t>Mine Record Entry</w:t>
      </w:r>
    </w:p>
    <w:p w14:paraId="717C6FA7" w14:textId="77777777" w:rsidR="00D51F05" w:rsidRDefault="00B539FD">
      <w:pPr>
        <w:spacing w:after="0"/>
        <w:ind w:left="158"/>
        <w:jc w:val="center"/>
      </w:pPr>
      <w:r>
        <w:rPr>
          <w:sz w:val="26"/>
        </w:rPr>
        <w:t>This report forms part of the Mine Record under s68 of the Coal Mining Safety and</w:t>
      </w:r>
    </w:p>
    <w:p w14:paraId="4DD44F01" w14:textId="77777777" w:rsidR="00D51F05" w:rsidRDefault="00B539FD">
      <w:pPr>
        <w:spacing w:after="120" w:line="216" w:lineRule="auto"/>
        <w:jc w:val="center"/>
      </w:pPr>
      <w:r>
        <w:rPr>
          <w:sz w:val="28"/>
        </w:rPr>
        <w:t xml:space="preserve">Health Act 1999. It must be placed in the Mine Record and displayed on Safety Notice </w:t>
      </w:r>
      <w:r>
        <w:rPr>
          <w:sz w:val="28"/>
        </w:rPr>
        <w:t>Boards.</w:t>
      </w:r>
    </w:p>
    <w:p w14:paraId="64E7C495" w14:textId="77777777" w:rsidR="00D51F05" w:rsidRDefault="00B539FD">
      <w:pPr>
        <w:spacing w:after="984" w:line="216" w:lineRule="auto"/>
        <w:ind w:left="127" w:firstLine="107"/>
        <w:jc w:val="both"/>
      </w:pPr>
      <w:r>
        <w:rPr>
          <w:sz w:val="28"/>
        </w:rPr>
        <w:t xml:space="preserve">Note that inspection or audit activities conducted by the Mines Inspectorate are </w:t>
      </w:r>
      <w:r>
        <w:rPr>
          <w:sz w:val="28"/>
        </w:rPr>
        <w:t>based upon sample techniques. It remains the primary responsibility of Mine Personnel to identify hazards, and risks associated with Operations and ensure those risks are at an acceptable level.</w:t>
      </w:r>
    </w:p>
    <w:p w14:paraId="2A6D858F" w14:textId="77777777" w:rsidR="00D51F05" w:rsidRDefault="00B539FD">
      <w:pPr>
        <w:spacing w:after="0"/>
        <w:ind w:left="97" w:hanging="10"/>
      </w:pPr>
      <w:r>
        <w:rPr>
          <w:sz w:val="26"/>
        </w:rPr>
        <w:t>Today, 6 August 2018 1, Inspector Les Marlborough, accompanie</w:t>
      </w:r>
      <w:r>
        <w:rPr>
          <w:sz w:val="26"/>
        </w:rPr>
        <w:t>d by Inspector Paul Brown attended a meeting at North Goonyella Mine to discuss the status of the high CO in 9N TG, I was met by UMM Mr Marek Romanski and SSE Mr John Anger.</w:t>
      </w:r>
    </w:p>
    <w:p w14:paraId="46A99B56" w14:textId="77777777" w:rsidR="00D51F05" w:rsidRDefault="00B539FD">
      <w:pPr>
        <w:spacing w:after="0" w:line="265" w:lineRule="auto"/>
        <w:ind w:left="112" w:right="145" w:firstLine="5"/>
      </w:pPr>
      <w:r>
        <w:rPr>
          <w:sz w:val="24"/>
        </w:rPr>
        <w:t>Meeting</w:t>
      </w:r>
    </w:p>
    <w:p w14:paraId="73B90AA8" w14:textId="77777777" w:rsidR="00D51F05" w:rsidRDefault="00B539FD">
      <w:pPr>
        <w:spacing w:after="0" w:line="265" w:lineRule="auto"/>
        <w:ind w:left="112" w:right="6199" w:firstLine="5"/>
      </w:pPr>
      <w:r>
        <w:rPr>
          <w:sz w:val="24"/>
        </w:rPr>
        <w:t>Attending the meeting was,'</w:t>
      </w:r>
      <w:r>
        <w:rPr>
          <w:noProof/>
        </w:rPr>
        <w:drawing>
          <wp:inline distT="0" distB="0" distL="0" distR="0" wp14:anchorId="282D4BA9" wp14:editId="6CBC60D8">
            <wp:extent cx="12927" cy="12927"/>
            <wp:effectExtent l="0" t="0" r="0" b="0"/>
            <wp:docPr id="11794" name="Picture 11794"/>
            <wp:cNvGraphicFramePr/>
            <a:graphic xmlns:a="http://schemas.openxmlformats.org/drawingml/2006/main">
              <a:graphicData uri="http://schemas.openxmlformats.org/drawingml/2006/picture">
                <pic:pic xmlns:pic="http://schemas.openxmlformats.org/drawingml/2006/picture">
                  <pic:nvPicPr>
                    <pic:cNvPr id="11794" name="Picture 11794"/>
                    <pic:cNvPicPr/>
                  </pic:nvPicPr>
                  <pic:blipFill>
                    <a:blip r:embed="rId5"/>
                    <a:stretch>
                      <a:fillRect/>
                    </a:stretch>
                  </pic:blipFill>
                  <pic:spPr>
                    <a:xfrm>
                      <a:off x="0" y="0"/>
                      <a:ext cx="12927" cy="12927"/>
                    </a:xfrm>
                    <a:prstGeom prst="rect">
                      <a:avLst/>
                    </a:prstGeom>
                  </pic:spPr>
                </pic:pic>
              </a:graphicData>
            </a:graphic>
          </wp:inline>
        </w:drawing>
      </w:r>
      <w:r>
        <w:rPr>
          <w:sz w:val="24"/>
        </w:rPr>
        <w:t xml:space="preserve">Mr John Anger, </w:t>
      </w:r>
      <w:proofErr w:type="gramStart"/>
      <w:r>
        <w:rPr>
          <w:sz w:val="24"/>
        </w:rPr>
        <w:t>SSE;</w:t>
      </w:r>
      <w:proofErr w:type="gramEnd"/>
    </w:p>
    <w:p w14:paraId="1CDAB5C3" w14:textId="77777777" w:rsidR="00D51F05" w:rsidRDefault="00B539FD">
      <w:pPr>
        <w:spacing w:after="0" w:line="265" w:lineRule="auto"/>
        <w:ind w:left="112" w:right="145" w:firstLine="5"/>
      </w:pPr>
      <w:r>
        <w:rPr>
          <w:sz w:val="24"/>
        </w:rPr>
        <w:t>Mr Marek Romanski, Undergr</w:t>
      </w:r>
      <w:r>
        <w:rPr>
          <w:sz w:val="24"/>
        </w:rPr>
        <w:t xml:space="preserve">ound Mine </w:t>
      </w:r>
      <w:proofErr w:type="gramStart"/>
      <w:r>
        <w:rPr>
          <w:sz w:val="24"/>
        </w:rPr>
        <w:t>Manager;</w:t>
      </w:r>
      <w:proofErr w:type="gramEnd"/>
    </w:p>
    <w:p w14:paraId="0D7BAE85" w14:textId="77777777" w:rsidR="00D51F05" w:rsidRDefault="00B539FD">
      <w:pPr>
        <w:spacing w:after="0"/>
        <w:ind w:left="97" w:hanging="10"/>
      </w:pPr>
      <w:r>
        <w:rPr>
          <w:sz w:val="26"/>
        </w:rPr>
        <w:t xml:space="preserve">Mr Gavin Shields, Safety </w:t>
      </w:r>
      <w:proofErr w:type="gramStart"/>
      <w:r>
        <w:rPr>
          <w:sz w:val="26"/>
        </w:rPr>
        <w:t>Manager;</w:t>
      </w:r>
      <w:proofErr w:type="gramEnd"/>
    </w:p>
    <w:p w14:paraId="5CE2CC07" w14:textId="77777777" w:rsidR="00D51F05" w:rsidRDefault="00B539FD">
      <w:pPr>
        <w:spacing w:after="0" w:line="265" w:lineRule="auto"/>
        <w:ind w:left="112" w:right="145" w:firstLine="5"/>
      </w:pPr>
      <w:r>
        <w:rPr>
          <w:sz w:val="24"/>
        </w:rPr>
        <w:t xml:space="preserve">Mr Chris </w:t>
      </w:r>
      <w:proofErr w:type="spellStart"/>
      <w:r>
        <w:rPr>
          <w:sz w:val="24"/>
        </w:rPr>
        <w:t>Markowski</w:t>
      </w:r>
      <w:proofErr w:type="spellEnd"/>
      <w:r>
        <w:rPr>
          <w:sz w:val="24"/>
        </w:rPr>
        <w:t>, Tech Services Manager</w:t>
      </w:r>
    </w:p>
    <w:p w14:paraId="03BA0CBA" w14:textId="77777777" w:rsidR="00D51F05" w:rsidRDefault="00B539FD">
      <w:pPr>
        <w:spacing w:after="0" w:line="265" w:lineRule="auto"/>
        <w:ind w:left="112" w:right="145" w:firstLine="5"/>
      </w:pPr>
      <w:r>
        <w:rPr>
          <w:sz w:val="24"/>
        </w:rPr>
        <w:t xml:space="preserve">Mr Robin Hall, Continuous Improvement </w:t>
      </w:r>
      <w:proofErr w:type="gramStart"/>
      <w:r>
        <w:rPr>
          <w:sz w:val="24"/>
        </w:rPr>
        <w:t>Manager;</w:t>
      </w:r>
      <w:proofErr w:type="gramEnd"/>
    </w:p>
    <w:p w14:paraId="1386E96E" w14:textId="77777777" w:rsidR="00D51F05" w:rsidRDefault="00B539FD">
      <w:pPr>
        <w:spacing w:after="0"/>
        <w:ind w:left="97" w:hanging="10"/>
      </w:pPr>
      <w:r>
        <w:rPr>
          <w:sz w:val="26"/>
        </w:rPr>
        <w:t xml:space="preserve">Mr Charles Lilly, Peabody Senior Director of </w:t>
      </w:r>
      <w:proofErr w:type="gramStart"/>
      <w:r>
        <w:rPr>
          <w:sz w:val="26"/>
        </w:rPr>
        <w:t>Engineering;</w:t>
      </w:r>
      <w:proofErr w:type="gramEnd"/>
    </w:p>
    <w:p w14:paraId="39B5DABB" w14:textId="77777777" w:rsidR="00D51F05" w:rsidRDefault="00B539FD">
      <w:pPr>
        <w:spacing w:after="153" w:line="265" w:lineRule="auto"/>
        <w:ind w:left="112" w:right="4809" w:firstLine="5"/>
      </w:pPr>
      <w:r>
        <w:rPr>
          <w:sz w:val="24"/>
        </w:rPr>
        <w:t>Mr Mike Carter, SSE Millennium Mine; Mr Lee Earnshaw, De</w:t>
      </w:r>
      <w:r>
        <w:rPr>
          <w:sz w:val="24"/>
        </w:rPr>
        <w:t>velopment Coordinator.</w:t>
      </w:r>
    </w:p>
    <w:p w14:paraId="10951380" w14:textId="77777777" w:rsidR="00D51F05" w:rsidRDefault="00B539FD">
      <w:pPr>
        <w:spacing w:after="0" w:line="265" w:lineRule="auto"/>
        <w:ind w:left="112" w:right="145" w:firstLine="5"/>
      </w:pPr>
      <w:r>
        <w:rPr>
          <w:sz w:val="24"/>
        </w:rPr>
        <w:t>Meeting</w:t>
      </w:r>
    </w:p>
    <w:p w14:paraId="4219C7A1" w14:textId="77777777" w:rsidR="00D51F05" w:rsidRDefault="00B539FD">
      <w:pPr>
        <w:spacing w:after="23" w:line="216" w:lineRule="auto"/>
        <w:ind w:left="214" w:right="72" w:hanging="127"/>
        <w:jc w:val="both"/>
      </w:pPr>
      <w:r>
        <w:rPr>
          <w:sz w:val="24"/>
        </w:rPr>
        <w:t xml:space="preserve">Activities during the previous 24 </w:t>
      </w:r>
      <w:proofErr w:type="spellStart"/>
      <w:proofErr w:type="gramStart"/>
      <w:r>
        <w:rPr>
          <w:sz w:val="24"/>
        </w:rPr>
        <w:t>hours;o</w:t>
      </w:r>
      <w:proofErr w:type="spellEnd"/>
      <w:proofErr w:type="gramEnd"/>
      <w:r>
        <w:rPr>
          <w:sz w:val="24"/>
        </w:rPr>
        <w:t xml:space="preserve"> Continued </w:t>
      </w:r>
      <w:proofErr w:type="spellStart"/>
      <w:r>
        <w:rPr>
          <w:sz w:val="24"/>
        </w:rPr>
        <w:t>Floxal</w:t>
      </w:r>
      <w:proofErr w:type="spellEnd"/>
      <w:r>
        <w:rPr>
          <w:sz w:val="24"/>
        </w:rPr>
        <w:t xml:space="preserve"> injection and monitoring; o UMM, Shift Supervisor and 2 ERZ Controllers completed risk assessment and proceeded underground at 1 :30 PM to complete work to introduce </w:t>
      </w:r>
      <w:proofErr w:type="spellStart"/>
      <w:r>
        <w:rPr>
          <w:sz w:val="24"/>
        </w:rPr>
        <w:t>Floxal</w:t>
      </w:r>
      <w:proofErr w:type="spellEnd"/>
      <w:r>
        <w:rPr>
          <w:sz w:val="24"/>
        </w:rPr>
        <w:t xml:space="preserve"> gas into LW9 North TG. T</w:t>
      </w:r>
      <w:r>
        <w:rPr>
          <w:sz w:val="24"/>
        </w:rPr>
        <w:t xml:space="preserve">his work consisted of connecting the 4" </w:t>
      </w:r>
      <w:proofErr w:type="spellStart"/>
      <w:r>
        <w:rPr>
          <w:sz w:val="24"/>
        </w:rPr>
        <w:t>inertisation</w:t>
      </w:r>
      <w:proofErr w:type="spellEnd"/>
      <w:r>
        <w:rPr>
          <w:sz w:val="24"/>
        </w:rPr>
        <w:t xml:space="preserve"> line through the TG seal, fitting and closing valves to 6" pipes through the seal and bagging off the seal. They then went to MGIO South 2 CT B </w:t>
      </w:r>
      <w:proofErr w:type="spellStart"/>
      <w:r>
        <w:rPr>
          <w:sz w:val="24"/>
        </w:rPr>
        <w:t>hdg</w:t>
      </w:r>
      <w:proofErr w:type="spellEnd"/>
      <w:r>
        <w:rPr>
          <w:sz w:val="24"/>
        </w:rPr>
        <w:t xml:space="preserve"> and emptied the water traps on the methane drainage ris</w:t>
      </w:r>
      <w:r>
        <w:rPr>
          <w:sz w:val="24"/>
        </w:rPr>
        <w:t xml:space="preserve">er. They returned to surface at </w:t>
      </w:r>
      <w:proofErr w:type="gramStart"/>
      <w:r>
        <w:rPr>
          <w:sz w:val="24"/>
        </w:rPr>
        <w:t>4:00 PM;</w:t>
      </w:r>
      <w:proofErr w:type="gramEnd"/>
    </w:p>
    <w:p w14:paraId="720C32D1" w14:textId="77777777" w:rsidR="00D51F05" w:rsidRDefault="00B539FD">
      <w:pPr>
        <w:numPr>
          <w:ilvl w:val="0"/>
          <w:numId w:val="1"/>
        </w:numPr>
        <w:spacing w:after="0" w:line="265" w:lineRule="auto"/>
        <w:ind w:left="356" w:right="145" w:hanging="244"/>
      </w:pPr>
      <w:r>
        <w:rPr>
          <w:sz w:val="24"/>
        </w:rPr>
        <w:lastRenderedPageBreak/>
        <w:t xml:space="preserve">The third </w:t>
      </w:r>
      <w:proofErr w:type="spellStart"/>
      <w:r>
        <w:rPr>
          <w:sz w:val="24"/>
        </w:rPr>
        <w:t>Floxal</w:t>
      </w:r>
      <w:proofErr w:type="spellEnd"/>
      <w:r>
        <w:rPr>
          <w:sz w:val="24"/>
        </w:rPr>
        <w:t xml:space="preserve"> arrived at 2:00 PM. This was set up and operational at 01 </w:t>
      </w:r>
      <w:r>
        <w:rPr>
          <w:sz w:val="24"/>
        </w:rPr>
        <w:tab/>
        <w:t xml:space="preserve">AM. At this time the methane was turned off borehole 2470 and the </w:t>
      </w:r>
      <w:proofErr w:type="spellStart"/>
      <w:r>
        <w:rPr>
          <w:sz w:val="24"/>
        </w:rPr>
        <w:t>Floxal</w:t>
      </w:r>
      <w:proofErr w:type="spellEnd"/>
      <w:r>
        <w:rPr>
          <w:sz w:val="24"/>
        </w:rPr>
        <w:t xml:space="preserve"> introduced to replace the </w:t>
      </w:r>
      <w:proofErr w:type="gramStart"/>
      <w:r>
        <w:rPr>
          <w:sz w:val="24"/>
        </w:rPr>
        <w:t>methane;</w:t>
      </w:r>
      <w:proofErr w:type="gramEnd"/>
    </w:p>
    <w:p w14:paraId="59067921" w14:textId="77777777" w:rsidR="00D51F05" w:rsidRDefault="00B539FD">
      <w:pPr>
        <w:numPr>
          <w:ilvl w:val="0"/>
          <w:numId w:val="1"/>
        </w:numPr>
        <w:spacing w:after="461" w:line="265" w:lineRule="auto"/>
        <w:ind w:left="356" w:right="145" w:hanging="244"/>
      </w:pPr>
      <w:proofErr w:type="spellStart"/>
      <w:r>
        <w:rPr>
          <w:sz w:val="24"/>
        </w:rPr>
        <w:t>Floxal</w:t>
      </w:r>
      <w:proofErr w:type="spellEnd"/>
      <w:r>
        <w:rPr>
          <w:sz w:val="24"/>
        </w:rPr>
        <w:t xml:space="preserve"> gas introduced to 9 Nort</w:t>
      </w:r>
      <w:r>
        <w:rPr>
          <w:sz w:val="24"/>
        </w:rPr>
        <w:t>h TG Seal at 3:50 PM.</w:t>
      </w:r>
      <w:r>
        <w:rPr>
          <w:noProof/>
        </w:rPr>
        <w:drawing>
          <wp:inline distT="0" distB="0" distL="0" distR="0" wp14:anchorId="11DC1F21" wp14:editId="44A2F4C1">
            <wp:extent cx="12927" cy="9696"/>
            <wp:effectExtent l="0" t="0" r="0" b="0"/>
            <wp:docPr id="11796" name="Picture 11796"/>
            <wp:cNvGraphicFramePr/>
            <a:graphic xmlns:a="http://schemas.openxmlformats.org/drawingml/2006/main">
              <a:graphicData uri="http://schemas.openxmlformats.org/drawingml/2006/picture">
                <pic:pic xmlns:pic="http://schemas.openxmlformats.org/drawingml/2006/picture">
                  <pic:nvPicPr>
                    <pic:cNvPr id="11796" name="Picture 11796"/>
                    <pic:cNvPicPr/>
                  </pic:nvPicPr>
                  <pic:blipFill>
                    <a:blip r:embed="rId6"/>
                    <a:stretch>
                      <a:fillRect/>
                    </a:stretch>
                  </pic:blipFill>
                  <pic:spPr>
                    <a:xfrm>
                      <a:off x="0" y="0"/>
                      <a:ext cx="12927" cy="9696"/>
                    </a:xfrm>
                    <a:prstGeom prst="rect">
                      <a:avLst/>
                    </a:prstGeom>
                  </pic:spPr>
                </pic:pic>
              </a:graphicData>
            </a:graphic>
          </wp:inline>
        </w:drawing>
      </w:r>
    </w:p>
    <w:p w14:paraId="6861D4E8" w14:textId="77777777" w:rsidR="00D51F05" w:rsidRDefault="00B539FD">
      <w:pPr>
        <w:tabs>
          <w:tab w:val="center" w:pos="4603"/>
          <w:tab w:val="right" w:pos="9278"/>
        </w:tabs>
        <w:spacing w:after="223"/>
      </w:pPr>
      <w:r>
        <w:rPr>
          <w:sz w:val="18"/>
        </w:rPr>
        <w:t>07/09/2018</w:t>
      </w:r>
      <w:r>
        <w:rPr>
          <w:sz w:val="18"/>
        </w:rPr>
        <w:tab/>
      </w:r>
      <w:r>
        <w:rPr>
          <w:sz w:val="18"/>
        </w:rPr>
        <w:t>Mine Record Entry</w:t>
      </w:r>
      <w:r>
        <w:rPr>
          <w:sz w:val="18"/>
        </w:rPr>
        <w:tab/>
        <w:t>Page 1 of 2</w:t>
      </w:r>
    </w:p>
    <w:p w14:paraId="0C31B408" w14:textId="77777777" w:rsidR="00D51F05" w:rsidRDefault="00B539FD">
      <w:pPr>
        <w:spacing w:after="0" w:line="265" w:lineRule="auto"/>
        <w:ind w:left="20" w:right="145" w:firstLine="5"/>
      </w:pPr>
      <w:r>
        <w:rPr>
          <w:sz w:val="24"/>
        </w:rPr>
        <w:t xml:space="preserve">Current status at </w:t>
      </w:r>
      <w:proofErr w:type="gramStart"/>
      <w:r>
        <w:rPr>
          <w:sz w:val="24"/>
        </w:rPr>
        <w:t>08:00;-</w:t>
      </w:r>
      <w:proofErr w:type="gramEnd"/>
    </w:p>
    <w:p w14:paraId="69D45206" w14:textId="77777777" w:rsidR="00D51F05" w:rsidRDefault="00B539FD">
      <w:pPr>
        <w:spacing w:after="206" w:line="216" w:lineRule="auto"/>
        <w:ind w:left="10" w:right="72" w:hanging="10"/>
        <w:jc w:val="both"/>
      </w:pPr>
      <w:r>
        <w:rPr>
          <w:sz w:val="24"/>
        </w:rPr>
        <w:t xml:space="preserve">Gas levels showing results as expected. Tube 24 at the TG goaf edge showed the influence of the </w:t>
      </w:r>
      <w:proofErr w:type="spellStart"/>
      <w:r>
        <w:rPr>
          <w:sz w:val="24"/>
        </w:rPr>
        <w:t>Floxal</w:t>
      </w:r>
      <w:proofErr w:type="spellEnd"/>
      <w:r>
        <w:rPr>
          <w:sz w:val="24"/>
        </w:rPr>
        <w:t xml:space="preserve"> injection at the TG seal. The CO, Oxygen, Hydrogen and Ethylene dropping significantly. The TG Chute Road, Tube 29 was showing Methane at 4.22%. This was</w:t>
      </w:r>
      <w:r>
        <w:rPr>
          <w:sz w:val="24"/>
        </w:rPr>
        <w:t xml:space="preserve"> </w:t>
      </w:r>
      <w:r>
        <w:rPr>
          <w:noProof/>
        </w:rPr>
        <w:drawing>
          <wp:inline distT="0" distB="0" distL="0" distR="0" wp14:anchorId="3A9459B2" wp14:editId="6841C360">
            <wp:extent cx="3232" cy="3232"/>
            <wp:effectExtent l="0" t="0" r="0" b="0"/>
            <wp:docPr id="6004" name="Picture 6004"/>
            <wp:cNvGraphicFramePr/>
            <a:graphic xmlns:a="http://schemas.openxmlformats.org/drawingml/2006/main">
              <a:graphicData uri="http://schemas.openxmlformats.org/drawingml/2006/picture">
                <pic:pic xmlns:pic="http://schemas.openxmlformats.org/drawingml/2006/picture">
                  <pic:nvPicPr>
                    <pic:cNvPr id="6004" name="Picture 6004"/>
                    <pic:cNvPicPr/>
                  </pic:nvPicPr>
                  <pic:blipFill>
                    <a:blip r:embed="rId7"/>
                    <a:stretch>
                      <a:fillRect/>
                    </a:stretch>
                  </pic:blipFill>
                  <pic:spPr>
                    <a:xfrm>
                      <a:off x="0" y="0"/>
                      <a:ext cx="3232" cy="3232"/>
                    </a:xfrm>
                    <a:prstGeom prst="rect">
                      <a:avLst/>
                    </a:prstGeom>
                  </pic:spPr>
                </pic:pic>
              </a:graphicData>
            </a:graphic>
          </wp:inline>
        </w:drawing>
      </w:r>
      <w:r>
        <w:rPr>
          <w:sz w:val="24"/>
        </w:rPr>
        <w:t>expected as the purging from the end of the LW and the injection of methane into the goaf at borehole 2470 would cause the methane to report to the TG Chute Road. CO at the TG Chute Road had risen to 151 ppm. Again, as expected.</w:t>
      </w:r>
    </w:p>
    <w:p w14:paraId="115B9616" w14:textId="77777777" w:rsidR="00D51F05" w:rsidRDefault="00B539FD">
      <w:pPr>
        <w:spacing w:after="382" w:line="265" w:lineRule="auto"/>
        <w:ind w:left="15" w:right="145" w:firstLine="5"/>
      </w:pPr>
      <w:r>
        <w:rPr>
          <w:sz w:val="24"/>
        </w:rPr>
        <w:t xml:space="preserve">The Mine supplied a copy </w:t>
      </w:r>
      <w:r>
        <w:rPr>
          <w:sz w:val="24"/>
        </w:rPr>
        <w:t>of the gas results spreadsheet for tube 24 and tube 28 and 29.</w:t>
      </w:r>
    </w:p>
    <w:p w14:paraId="01997EAC" w14:textId="77777777" w:rsidR="00D51F05" w:rsidRDefault="00B539FD">
      <w:pPr>
        <w:spacing w:after="0"/>
        <w:ind w:left="25" w:hanging="10"/>
      </w:pPr>
      <w:r>
        <w:rPr>
          <w:sz w:val="26"/>
        </w:rPr>
        <w:t>The plan for the next 24 hours</w:t>
      </w:r>
    </w:p>
    <w:p w14:paraId="789D3431" w14:textId="77777777" w:rsidR="00D51F05" w:rsidRDefault="00B539FD">
      <w:pPr>
        <w:numPr>
          <w:ilvl w:val="0"/>
          <w:numId w:val="1"/>
        </w:numPr>
        <w:spacing w:after="0" w:line="265" w:lineRule="auto"/>
        <w:ind w:left="356" w:right="145" w:hanging="244"/>
      </w:pPr>
      <w:r>
        <w:rPr>
          <w:sz w:val="24"/>
        </w:rPr>
        <w:t>A risk assessment was to be conducted for the controlled re-entry to the Mine. ISHR Mr Stephen Woods had been invited to participate and would do so. The staged r</w:t>
      </w:r>
      <w:r>
        <w:rPr>
          <w:sz w:val="24"/>
        </w:rPr>
        <w:t xml:space="preserve">e-entry would commence with inspecting the Mine and conducting weekly stats on gas monitors and electrical system, as well as work necessary to ensure the safety of the Mine. Other </w:t>
      </w:r>
      <w:r>
        <w:rPr>
          <w:noProof/>
        </w:rPr>
        <w:drawing>
          <wp:inline distT="0" distB="0" distL="0" distR="0" wp14:anchorId="3DF11F2E" wp14:editId="6645F15D">
            <wp:extent cx="3232" cy="6464"/>
            <wp:effectExtent l="0" t="0" r="0" b="0"/>
            <wp:docPr id="6006" name="Picture 6006"/>
            <wp:cNvGraphicFramePr/>
            <a:graphic xmlns:a="http://schemas.openxmlformats.org/drawingml/2006/main">
              <a:graphicData uri="http://schemas.openxmlformats.org/drawingml/2006/picture">
                <pic:pic xmlns:pic="http://schemas.openxmlformats.org/drawingml/2006/picture">
                  <pic:nvPicPr>
                    <pic:cNvPr id="6006" name="Picture 6006"/>
                    <pic:cNvPicPr/>
                  </pic:nvPicPr>
                  <pic:blipFill>
                    <a:blip r:embed="rId8"/>
                    <a:stretch>
                      <a:fillRect/>
                    </a:stretch>
                  </pic:blipFill>
                  <pic:spPr>
                    <a:xfrm>
                      <a:off x="0" y="0"/>
                      <a:ext cx="3232" cy="6464"/>
                    </a:xfrm>
                    <a:prstGeom prst="rect">
                      <a:avLst/>
                    </a:prstGeom>
                  </pic:spPr>
                </pic:pic>
              </a:graphicData>
            </a:graphic>
          </wp:inline>
        </w:drawing>
      </w:r>
      <w:r>
        <w:rPr>
          <w:sz w:val="24"/>
        </w:rPr>
        <w:t xml:space="preserve">details of planned work </w:t>
      </w:r>
      <w:proofErr w:type="gramStart"/>
      <w:r>
        <w:rPr>
          <w:sz w:val="24"/>
        </w:rPr>
        <w:t>was</w:t>
      </w:r>
      <w:proofErr w:type="gramEnd"/>
      <w:r>
        <w:rPr>
          <w:sz w:val="24"/>
        </w:rPr>
        <w:t xml:space="preserve"> included in the staged re-entry plan. I recomm</w:t>
      </w:r>
      <w:r>
        <w:rPr>
          <w:sz w:val="24"/>
        </w:rPr>
        <w:t xml:space="preserve">ended that the Mine consider triggers that would be used during the re-entry process such that, should conditions worsen in the LW9 North, then the Mine would reassess and possibly withdraw people if deemed necessary; </w:t>
      </w:r>
      <w:r>
        <w:rPr>
          <w:noProof/>
        </w:rPr>
        <w:drawing>
          <wp:inline distT="0" distB="0" distL="0" distR="0" wp14:anchorId="24496BD5" wp14:editId="2FBA8533">
            <wp:extent cx="3232" cy="6464"/>
            <wp:effectExtent l="0" t="0" r="0" b="0"/>
            <wp:docPr id="6007" name="Picture 6007"/>
            <wp:cNvGraphicFramePr/>
            <a:graphic xmlns:a="http://schemas.openxmlformats.org/drawingml/2006/main">
              <a:graphicData uri="http://schemas.openxmlformats.org/drawingml/2006/picture">
                <pic:pic xmlns:pic="http://schemas.openxmlformats.org/drawingml/2006/picture">
                  <pic:nvPicPr>
                    <pic:cNvPr id="6007" name="Picture 6007"/>
                    <pic:cNvPicPr/>
                  </pic:nvPicPr>
                  <pic:blipFill>
                    <a:blip r:embed="rId9"/>
                    <a:stretch>
                      <a:fillRect/>
                    </a:stretch>
                  </pic:blipFill>
                  <pic:spPr>
                    <a:xfrm>
                      <a:off x="0" y="0"/>
                      <a:ext cx="3232" cy="6464"/>
                    </a:xfrm>
                    <a:prstGeom prst="rect">
                      <a:avLst/>
                    </a:prstGeom>
                  </pic:spPr>
                </pic:pic>
              </a:graphicData>
            </a:graphic>
          </wp:inline>
        </w:drawing>
      </w:r>
      <w:r>
        <w:rPr>
          <w:sz w:val="24"/>
        </w:rPr>
        <w:t xml:space="preserve">o A large </w:t>
      </w:r>
      <w:proofErr w:type="spellStart"/>
      <w:r>
        <w:rPr>
          <w:sz w:val="24"/>
        </w:rPr>
        <w:t>Floxal</w:t>
      </w:r>
      <w:proofErr w:type="spellEnd"/>
      <w:r>
        <w:rPr>
          <w:sz w:val="24"/>
        </w:rPr>
        <w:t xml:space="preserve"> unit from NSW was ex</w:t>
      </w:r>
      <w:r>
        <w:rPr>
          <w:sz w:val="24"/>
        </w:rPr>
        <w:t xml:space="preserve">pected to arrive on Friday afternoon. I suggested that the best location to utilise this unit was to inject the </w:t>
      </w:r>
      <w:proofErr w:type="spellStart"/>
      <w:r>
        <w:rPr>
          <w:sz w:val="24"/>
        </w:rPr>
        <w:t>Floxal</w:t>
      </w:r>
      <w:proofErr w:type="spellEnd"/>
      <w:r>
        <w:rPr>
          <w:sz w:val="24"/>
        </w:rPr>
        <w:t xml:space="preserve"> gas at hole 1991. This would assist in purging the entire TG corner of the goaf area and would be more likely to treat the area where the</w:t>
      </w:r>
      <w:r>
        <w:rPr>
          <w:sz w:val="24"/>
        </w:rPr>
        <w:t xml:space="preserve"> heating was believed to be located. The Mine agreed that this would be the preferred location for this unit. It was expected to be commissioned and running Saturday morning;</w:t>
      </w:r>
      <w:r>
        <w:rPr>
          <w:noProof/>
        </w:rPr>
        <w:drawing>
          <wp:inline distT="0" distB="0" distL="0" distR="0" wp14:anchorId="2194BF8F" wp14:editId="6285961B">
            <wp:extent cx="3232" cy="3232"/>
            <wp:effectExtent l="0" t="0" r="0" b="0"/>
            <wp:docPr id="6008" name="Picture 6008"/>
            <wp:cNvGraphicFramePr/>
            <a:graphic xmlns:a="http://schemas.openxmlformats.org/drawingml/2006/main">
              <a:graphicData uri="http://schemas.openxmlformats.org/drawingml/2006/picture">
                <pic:pic xmlns:pic="http://schemas.openxmlformats.org/drawingml/2006/picture">
                  <pic:nvPicPr>
                    <pic:cNvPr id="6008" name="Picture 6008"/>
                    <pic:cNvPicPr/>
                  </pic:nvPicPr>
                  <pic:blipFill>
                    <a:blip r:embed="rId10"/>
                    <a:stretch>
                      <a:fillRect/>
                    </a:stretch>
                  </pic:blipFill>
                  <pic:spPr>
                    <a:xfrm>
                      <a:off x="0" y="0"/>
                      <a:ext cx="3232" cy="3232"/>
                    </a:xfrm>
                    <a:prstGeom prst="rect">
                      <a:avLst/>
                    </a:prstGeom>
                  </pic:spPr>
                </pic:pic>
              </a:graphicData>
            </a:graphic>
          </wp:inline>
        </w:drawing>
      </w:r>
    </w:p>
    <w:p w14:paraId="41E84658" w14:textId="77777777" w:rsidR="00D51F05" w:rsidRDefault="00B539FD">
      <w:pPr>
        <w:numPr>
          <w:ilvl w:val="0"/>
          <w:numId w:val="1"/>
        </w:numPr>
        <w:spacing w:after="0" w:line="265" w:lineRule="auto"/>
        <w:ind w:left="356" w:right="145" w:hanging="244"/>
      </w:pPr>
      <w:r>
        <w:rPr>
          <w:noProof/>
        </w:rPr>
        <w:drawing>
          <wp:anchor distT="0" distB="0" distL="114300" distR="114300" simplePos="0" relativeHeight="251658240" behindDoc="0" locked="0" layoutInCell="1" allowOverlap="0" wp14:anchorId="39DC7CC0" wp14:editId="5AAA9DA7">
            <wp:simplePos x="0" y="0"/>
            <wp:positionH relativeFrom="page">
              <wp:posOffset>846695</wp:posOffset>
            </wp:positionH>
            <wp:positionV relativeFrom="page">
              <wp:posOffset>7109882</wp:posOffset>
            </wp:positionV>
            <wp:extent cx="3232" cy="3232"/>
            <wp:effectExtent l="0" t="0" r="0" b="0"/>
            <wp:wrapSquare wrapText="bothSides"/>
            <wp:docPr id="6013" name="Picture 6013"/>
            <wp:cNvGraphicFramePr/>
            <a:graphic xmlns:a="http://schemas.openxmlformats.org/drawingml/2006/main">
              <a:graphicData uri="http://schemas.openxmlformats.org/drawingml/2006/picture">
                <pic:pic xmlns:pic="http://schemas.openxmlformats.org/drawingml/2006/picture">
                  <pic:nvPicPr>
                    <pic:cNvPr id="6013" name="Picture 6013"/>
                    <pic:cNvPicPr/>
                  </pic:nvPicPr>
                  <pic:blipFill>
                    <a:blip r:embed="rId10"/>
                    <a:stretch>
                      <a:fillRect/>
                    </a:stretch>
                  </pic:blipFill>
                  <pic:spPr>
                    <a:xfrm>
                      <a:off x="0" y="0"/>
                      <a:ext cx="3232" cy="3232"/>
                    </a:xfrm>
                    <a:prstGeom prst="rect">
                      <a:avLst/>
                    </a:prstGeom>
                  </pic:spPr>
                </pic:pic>
              </a:graphicData>
            </a:graphic>
          </wp:anchor>
        </w:drawing>
      </w:r>
      <w:r>
        <w:rPr>
          <w:sz w:val="24"/>
        </w:rPr>
        <w:t>A risk assessment was to be conducted for drilling a hole from the surface into</w:t>
      </w:r>
      <w:r>
        <w:rPr>
          <w:sz w:val="24"/>
        </w:rPr>
        <w:t xml:space="preserve"> the area where the Heating was thought to be located. This could then be used to inject </w:t>
      </w:r>
      <w:proofErr w:type="spellStart"/>
      <w:r>
        <w:rPr>
          <w:sz w:val="24"/>
        </w:rPr>
        <w:t>Floxal</w:t>
      </w:r>
      <w:proofErr w:type="spellEnd"/>
      <w:r>
        <w:rPr>
          <w:sz w:val="24"/>
        </w:rPr>
        <w:t xml:space="preserve"> gas and possibly to utilise this in conjunction with foam to assist in the treating of the heating. It would take 3 to 4 days to drill the hole once drilling </w:t>
      </w:r>
      <w:proofErr w:type="gramStart"/>
      <w:r>
        <w:rPr>
          <w:sz w:val="24"/>
        </w:rPr>
        <w:t>co</w:t>
      </w:r>
      <w:r>
        <w:rPr>
          <w:sz w:val="24"/>
        </w:rPr>
        <w:t>mmenced(</w:t>
      </w:r>
      <w:proofErr w:type="gramEnd"/>
      <w:r>
        <w:rPr>
          <w:sz w:val="24"/>
        </w:rPr>
        <w:t xml:space="preserve">400 m depth). I recommended that the Mine considered having an ERZ Controller, or another person </w:t>
      </w:r>
      <w:r>
        <w:rPr>
          <w:noProof/>
        </w:rPr>
        <w:drawing>
          <wp:inline distT="0" distB="0" distL="0" distR="0" wp14:anchorId="5E6EE995" wp14:editId="6003D1C4">
            <wp:extent cx="3232" cy="6464"/>
            <wp:effectExtent l="0" t="0" r="0" b="0"/>
            <wp:docPr id="6010" name="Picture 6010"/>
            <wp:cNvGraphicFramePr/>
            <a:graphic xmlns:a="http://schemas.openxmlformats.org/drawingml/2006/main">
              <a:graphicData uri="http://schemas.openxmlformats.org/drawingml/2006/picture">
                <pic:pic xmlns:pic="http://schemas.openxmlformats.org/drawingml/2006/picture">
                  <pic:nvPicPr>
                    <pic:cNvPr id="6010" name="Picture 6010"/>
                    <pic:cNvPicPr/>
                  </pic:nvPicPr>
                  <pic:blipFill>
                    <a:blip r:embed="rId11"/>
                    <a:stretch>
                      <a:fillRect/>
                    </a:stretch>
                  </pic:blipFill>
                  <pic:spPr>
                    <a:xfrm>
                      <a:off x="0" y="0"/>
                      <a:ext cx="3232" cy="6464"/>
                    </a:xfrm>
                    <a:prstGeom prst="rect">
                      <a:avLst/>
                    </a:prstGeom>
                  </pic:spPr>
                </pic:pic>
              </a:graphicData>
            </a:graphic>
          </wp:inline>
        </w:drawing>
      </w:r>
      <w:r>
        <w:rPr>
          <w:sz w:val="24"/>
        </w:rPr>
        <w:t>competent to monitor for gas, present at the drill site to monitor for gases when the drill was expected to hole into the goaf.</w:t>
      </w:r>
    </w:p>
    <w:p w14:paraId="06DF7DCE" w14:textId="77777777" w:rsidR="00D51F05" w:rsidRDefault="00B539FD">
      <w:pPr>
        <w:numPr>
          <w:ilvl w:val="0"/>
          <w:numId w:val="1"/>
        </w:numPr>
        <w:spacing w:after="178" w:line="265" w:lineRule="auto"/>
        <w:ind w:left="356" w:right="145" w:hanging="244"/>
      </w:pPr>
      <w:r>
        <w:rPr>
          <w:sz w:val="24"/>
        </w:rPr>
        <w:t xml:space="preserve">Another </w:t>
      </w:r>
      <w:proofErr w:type="spellStart"/>
      <w:r>
        <w:rPr>
          <w:sz w:val="24"/>
        </w:rPr>
        <w:t>Floxal</w:t>
      </w:r>
      <w:proofErr w:type="spellEnd"/>
      <w:r>
        <w:rPr>
          <w:sz w:val="24"/>
        </w:rPr>
        <w:t xml:space="preserve"> unit was due to arrive on site Monday. This would allow the Mine to return one of the units back to Millennium Mine.</w:t>
      </w:r>
      <w:r>
        <w:rPr>
          <w:noProof/>
        </w:rPr>
        <w:drawing>
          <wp:inline distT="0" distB="0" distL="0" distR="0" wp14:anchorId="0D9347D7" wp14:editId="6637AB57">
            <wp:extent cx="3232" cy="3232"/>
            <wp:effectExtent l="0" t="0" r="0" b="0"/>
            <wp:docPr id="6012" name="Picture 6012"/>
            <wp:cNvGraphicFramePr/>
            <a:graphic xmlns:a="http://schemas.openxmlformats.org/drawingml/2006/main">
              <a:graphicData uri="http://schemas.openxmlformats.org/drawingml/2006/picture">
                <pic:pic xmlns:pic="http://schemas.openxmlformats.org/drawingml/2006/picture">
                  <pic:nvPicPr>
                    <pic:cNvPr id="6012" name="Picture 6012"/>
                    <pic:cNvPicPr/>
                  </pic:nvPicPr>
                  <pic:blipFill>
                    <a:blip r:embed="rId12"/>
                    <a:stretch>
                      <a:fillRect/>
                    </a:stretch>
                  </pic:blipFill>
                  <pic:spPr>
                    <a:xfrm>
                      <a:off x="0" y="0"/>
                      <a:ext cx="3232" cy="3232"/>
                    </a:xfrm>
                    <a:prstGeom prst="rect">
                      <a:avLst/>
                    </a:prstGeom>
                  </pic:spPr>
                </pic:pic>
              </a:graphicData>
            </a:graphic>
          </wp:inline>
        </w:drawing>
      </w:r>
    </w:p>
    <w:p w14:paraId="46EA0786" w14:textId="77777777" w:rsidR="00D51F05" w:rsidRDefault="00B539FD">
      <w:pPr>
        <w:spacing w:after="179" w:line="265" w:lineRule="auto"/>
        <w:ind w:right="145" w:firstLine="5"/>
      </w:pPr>
      <w:r>
        <w:rPr>
          <w:sz w:val="24"/>
        </w:rPr>
        <w:t xml:space="preserve">Inspector Brown suggested that the Mine consider controlling access to the Mine as the Mine was, in effect, in </w:t>
      </w:r>
      <w:proofErr w:type="gramStart"/>
      <w:r>
        <w:rPr>
          <w:sz w:val="24"/>
        </w:rPr>
        <w:t>an emergency</w:t>
      </w:r>
      <w:r>
        <w:rPr>
          <w:sz w:val="24"/>
        </w:rPr>
        <w:t xml:space="preserve"> situation</w:t>
      </w:r>
      <w:proofErr w:type="gramEnd"/>
      <w:r>
        <w:rPr>
          <w:sz w:val="24"/>
        </w:rPr>
        <w:t>. The Mine agreed to this.</w:t>
      </w:r>
      <w:r>
        <w:rPr>
          <w:noProof/>
        </w:rPr>
        <w:drawing>
          <wp:inline distT="0" distB="0" distL="0" distR="0" wp14:anchorId="00B51734" wp14:editId="3E47DD43">
            <wp:extent cx="3232" cy="6463"/>
            <wp:effectExtent l="0" t="0" r="0" b="0"/>
            <wp:docPr id="6014" name="Picture 6014"/>
            <wp:cNvGraphicFramePr/>
            <a:graphic xmlns:a="http://schemas.openxmlformats.org/drawingml/2006/main">
              <a:graphicData uri="http://schemas.openxmlformats.org/drawingml/2006/picture">
                <pic:pic xmlns:pic="http://schemas.openxmlformats.org/drawingml/2006/picture">
                  <pic:nvPicPr>
                    <pic:cNvPr id="6014" name="Picture 6014"/>
                    <pic:cNvPicPr/>
                  </pic:nvPicPr>
                  <pic:blipFill>
                    <a:blip r:embed="rId13"/>
                    <a:stretch>
                      <a:fillRect/>
                    </a:stretch>
                  </pic:blipFill>
                  <pic:spPr>
                    <a:xfrm>
                      <a:off x="0" y="0"/>
                      <a:ext cx="3232" cy="6463"/>
                    </a:xfrm>
                    <a:prstGeom prst="rect">
                      <a:avLst/>
                    </a:prstGeom>
                  </pic:spPr>
                </pic:pic>
              </a:graphicData>
            </a:graphic>
          </wp:inline>
        </w:drawing>
      </w:r>
    </w:p>
    <w:p w14:paraId="1B2F88A8" w14:textId="77777777" w:rsidR="00D51F05" w:rsidRDefault="00B539FD">
      <w:pPr>
        <w:spacing w:after="206" w:line="216" w:lineRule="auto"/>
        <w:ind w:left="10" w:right="163" w:hanging="10"/>
        <w:jc w:val="both"/>
      </w:pPr>
      <w:r>
        <w:rPr>
          <w:sz w:val="24"/>
        </w:rPr>
        <w:t>A discussion was held regarding the ongoing shield recovery. I recommended that the Mine should consider reviewing the sealing management plan such that, when the shield recovery progressed past the Maingate Chute Road</w:t>
      </w:r>
      <w:r>
        <w:rPr>
          <w:sz w:val="24"/>
        </w:rPr>
        <w:t xml:space="preserve"> that the TG Chute Road seal be completed and </w:t>
      </w:r>
      <w:proofErr w:type="spellStart"/>
      <w:r>
        <w:rPr>
          <w:sz w:val="24"/>
        </w:rPr>
        <w:lastRenderedPageBreak/>
        <w:t>Floxal</w:t>
      </w:r>
      <w:proofErr w:type="spellEnd"/>
      <w:r>
        <w:rPr>
          <w:sz w:val="24"/>
        </w:rPr>
        <w:t xml:space="preserve"> gas injected into this road, </w:t>
      </w:r>
      <w:proofErr w:type="gramStart"/>
      <w:r>
        <w:rPr>
          <w:sz w:val="24"/>
        </w:rPr>
        <w:t>similar to</w:t>
      </w:r>
      <w:proofErr w:type="gramEnd"/>
      <w:r>
        <w:rPr>
          <w:sz w:val="24"/>
        </w:rPr>
        <w:t xml:space="preserve"> the TG seal. The Maingate Chute Road would then </w:t>
      </w:r>
      <w:r>
        <w:rPr>
          <w:noProof/>
        </w:rPr>
        <w:drawing>
          <wp:inline distT="0" distB="0" distL="0" distR="0" wp14:anchorId="66003618" wp14:editId="31282B75">
            <wp:extent cx="6463" cy="3232"/>
            <wp:effectExtent l="0" t="0" r="0" b="0"/>
            <wp:docPr id="6015" name="Picture 6015"/>
            <wp:cNvGraphicFramePr/>
            <a:graphic xmlns:a="http://schemas.openxmlformats.org/drawingml/2006/main">
              <a:graphicData uri="http://schemas.openxmlformats.org/drawingml/2006/picture">
                <pic:pic xmlns:pic="http://schemas.openxmlformats.org/drawingml/2006/picture">
                  <pic:nvPicPr>
                    <pic:cNvPr id="6015" name="Picture 6015"/>
                    <pic:cNvPicPr/>
                  </pic:nvPicPr>
                  <pic:blipFill>
                    <a:blip r:embed="rId14"/>
                    <a:stretch>
                      <a:fillRect/>
                    </a:stretch>
                  </pic:blipFill>
                  <pic:spPr>
                    <a:xfrm>
                      <a:off x="0" y="0"/>
                      <a:ext cx="6463" cy="3232"/>
                    </a:xfrm>
                    <a:prstGeom prst="rect">
                      <a:avLst/>
                    </a:prstGeom>
                  </pic:spPr>
                </pic:pic>
              </a:graphicData>
            </a:graphic>
          </wp:inline>
        </w:drawing>
      </w:r>
      <w:r>
        <w:rPr>
          <w:sz w:val="24"/>
        </w:rPr>
        <w:t>be used as the return for the remaining shield recovery. The Mine agreed to consider this.</w:t>
      </w:r>
    </w:p>
    <w:p w14:paraId="099A5ADE" w14:textId="77777777" w:rsidR="00D51F05" w:rsidRDefault="00B539FD">
      <w:pPr>
        <w:spacing w:after="0" w:line="265" w:lineRule="auto"/>
        <w:ind w:right="145" w:firstLine="5"/>
      </w:pPr>
      <w:r>
        <w:rPr>
          <w:sz w:val="24"/>
        </w:rPr>
        <w:t>I thanked the people fo</w:t>
      </w:r>
      <w:r>
        <w:rPr>
          <w:sz w:val="24"/>
        </w:rPr>
        <w:t xml:space="preserve">r their time and explained that I and Inspector Brown would return to the Mine at 8:00 AM on Friday 6 September to review progress and to discuss plans </w:t>
      </w:r>
      <w:proofErr w:type="gramStart"/>
      <w:r>
        <w:rPr>
          <w:sz w:val="24"/>
        </w:rPr>
        <w:t>going</w:t>
      </w:r>
      <w:proofErr w:type="gramEnd"/>
    </w:p>
    <w:p w14:paraId="019CB538" w14:textId="77777777" w:rsidR="00D51F05" w:rsidRDefault="00B539FD">
      <w:pPr>
        <w:spacing w:after="198"/>
      </w:pPr>
      <w:r>
        <w:rPr>
          <w:noProof/>
        </w:rPr>
        <mc:AlternateContent>
          <mc:Choice Requires="wpg">
            <w:drawing>
              <wp:inline distT="0" distB="0" distL="0" distR="0" wp14:anchorId="6D180131" wp14:editId="4CF29EE6">
                <wp:extent cx="1554429" cy="484765"/>
                <wp:effectExtent l="0" t="0" r="0" b="0"/>
                <wp:docPr id="11455" name="Group 11455"/>
                <wp:cNvGraphicFramePr/>
                <a:graphic xmlns:a="http://schemas.openxmlformats.org/drawingml/2006/main">
                  <a:graphicData uri="http://schemas.microsoft.com/office/word/2010/wordprocessingGroup">
                    <wpg:wgp>
                      <wpg:cNvGrpSpPr/>
                      <wpg:grpSpPr>
                        <a:xfrm>
                          <a:off x="0" y="0"/>
                          <a:ext cx="1554429" cy="484765"/>
                          <a:chOff x="0" y="0"/>
                          <a:chExt cx="1554429" cy="484765"/>
                        </a:xfrm>
                      </wpg:grpSpPr>
                      <pic:pic xmlns:pic="http://schemas.openxmlformats.org/drawingml/2006/picture">
                        <pic:nvPicPr>
                          <pic:cNvPr id="11800" name="Picture 11800"/>
                          <pic:cNvPicPr/>
                        </pic:nvPicPr>
                        <pic:blipFill>
                          <a:blip r:embed="rId15"/>
                          <a:stretch>
                            <a:fillRect/>
                          </a:stretch>
                        </pic:blipFill>
                        <pic:spPr>
                          <a:xfrm>
                            <a:off x="210058" y="0"/>
                            <a:ext cx="1344371" cy="484765"/>
                          </a:xfrm>
                          <a:prstGeom prst="rect">
                            <a:avLst/>
                          </a:prstGeom>
                        </pic:spPr>
                      </pic:pic>
                      <wps:wsp>
                        <wps:cNvPr id="3512" name="Rectangle 3512"/>
                        <wps:cNvSpPr/>
                        <wps:spPr>
                          <a:xfrm>
                            <a:off x="0" y="9696"/>
                            <a:ext cx="661909" cy="176228"/>
                          </a:xfrm>
                          <a:prstGeom prst="rect">
                            <a:avLst/>
                          </a:prstGeom>
                          <a:ln>
                            <a:noFill/>
                          </a:ln>
                        </wps:spPr>
                        <wps:txbx>
                          <w:txbxContent>
                            <w:p w14:paraId="633620CD" w14:textId="77777777" w:rsidR="00D51F05" w:rsidRDefault="00B539FD">
                              <w:r>
                                <w:rPr>
                                  <w:sz w:val="24"/>
                                </w:rPr>
                                <w:t>forward.</w:t>
                              </w:r>
                            </w:p>
                          </w:txbxContent>
                        </wps:txbx>
                        <wps:bodyPr horzOverflow="overflow" vert="horz" lIns="0" tIns="0" rIns="0" bIns="0" rtlCol="0">
                          <a:noAutofit/>
                        </wps:bodyPr>
                      </wps:wsp>
                    </wpg:wgp>
                  </a:graphicData>
                </a:graphic>
              </wp:inline>
            </w:drawing>
          </mc:Choice>
          <mc:Fallback xmlns:a="http://schemas.openxmlformats.org/drawingml/2006/main">
            <w:pict>
              <v:group id="Group 11455" style="width:122.396pt;height:38.1705pt;mso-position-horizontal-relative:char;mso-position-vertical-relative:line" coordsize="15544,4847">
                <v:shape id="Picture 11800" style="position:absolute;width:13443;height:4847;left:2100;top:0;" filled="f">
                  <v:imagedata r:id="rId16"/>
                </v:shape>
                <v:rect id="Rectangle 3512" style="position:absolute;width:6619;height:1762;left:0;top:96;" filled="f" stroked="f">
                  <v:textbox inset="0,0,0,0">
                    <w:txbxContent>
                      <w:p>
                        <w:pPr>
                          <w:spacing w:before="0" w:after="160" w:line="259" w:lineRule="auto"/>
                        </w:pPr>
                        <w:r>
                          <w:rPr>
                            <w:sz w:val="24"/>
                          </w:rPr>
                          <w:t xml:space="preserve">forward.</w:t>
                        </w:r>
                      </w:p>
                    </w:txbxContent>
                  </v:textbox>
                </v:rect>
              </v:group>
            </w:pict>
          </mc:Fallback>
        </mc:AlternateContent>
      </w:r>
    </w:p>
    <w:p w14:paraId="73E0CC27" w14:textId="77777777" w:rsidR="00D51F05" w:rsidRDefault="00B539FD">
      <w:pPr>
        <w:spacing w:after="0"/>
        <w:ind w:left="35" w:hanging="10"/>
      </w:pPr>
      <w:r>
        <w:rPr>
          <w:sz w:val="26"/>
        </w:rPr>
        <w:t>Les Marlborough</w:t>
      </w:r>
    </w:p>
    <w:p w14:paraId="1204F7D2" w14:textId="77777777" w:rsidR="00D51F05" w:rsidRDefault="00B539FD">
      <w:pPr>
        <w:spacing w:after="958" w:line="265" w:lineRule="auto"/>
        <w:ind w:left="25" w:right="145" w:firstLine="5"/>
      </w:pPr>
      <w:r>
        <w:rPr>
          <w:sz w:val="24"/>
        </w:rPr>
        <w:t>Inspector of Mines</w:t>
      </w:r>
      <w:r>
        <w:rPr>
          <w:noProof/>
        </w:rPr>
        <w:drawing>
          <wp:inline distT="0" distB="0" distL="0" distR="0" wp14:anchorId="12C6BF30" wp14:editId="6DA161E9">
            <wp:extent cx="3232" cy="6464"/>
            <wp:effectExtent l="0" t="0" r="0" b="0"/>
            <wp:docPr id="6016" name="Picture 6016"/>
            <wp:cNvGraphicFramePr/>
            <a:graphic xmlns:a="http://schemas.openxmlformats.org/drawingml/2006/main">
              <a:graphicData uri="http://schemas.openxmlformats.org/drawingml/2006/picture">
                <pic:pic xmlns:pic="http://schemas.openxmlformats.org/drawingml/2006/picture">
                  <pic:nvPicPr>
                    <pic:cNvPr id="6016" name="Picture 6016"/>
                    <pic:cNvPicPr/>
                  </pic:nvPicPr>
                  <pic:blipFill>
                    <a:blip r:embed="rId17"/>
                    <a:stretch>
                      <a:fillRect/>
                    </a:stretch>
                  </pic:blipFill>
                  <pic:spPr>
                    <a:xfrm>
                      <a:off x="0" y="0"/>
                      <a:ext cx="3232" cy="6464"/>
                    </a:xfrm>
                    <a:prstGeom prst="rect">
                      <a:avLst/>
                    </a:prstGeom>
                  </pic:spPr>
                </pic:pic>
              </a:graphicData>
            </a:graphic>
          </wp:inline>
        </w:drawing>
      </w:r>
    </w:p>
    <w:p w14:paraId="63A3F7D9" w14:textId="77777777" w:rsidR="00D51F05" w:rsidRDefault="00B539FD">
      <w:pPr>
        <w:tabs>
          <w:tab w:val="center" w:pos="4524"/>
          <w:tab w:val="center" w:pos="8616"/>
        </w:tabs>
        <w:spacing w:after="223"/>
      </w:pPr>
      <w:r>
        <w:rPr>
          <w:sz w:val="18"/>
        </w:rPr>
        <w:t>07/0912018</w:t>
      </w:r>
      <w:r>
        <w:rPr>
          <w:sz w:val="18"/>
        </w:rPr>
        <w:tab/>
      </w:r>
      <w:r>
        <w:rPr>
          <w:sz w:val="18"/>
        </w:rPr>
        <w:t>Mine Record Entry</w:t>
      </w:r>
      <w:r>
        <w:rPr>
          <w:sz w:val="18"/>
        </w:rPr>
        <w:tab/>
        <w:t>Page 2 of 2</w:t>
      </w:r>
    </w:p>
    <w:sectPr w:rsidR="00D51F05">
      <w:type w:val="continuous"/>
      <w:pgSz w:w="11909" w:h="16841"/>
      <w:pgMar w:top="1922" w:right="1262" w:bottom="547" w:left="13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148" style="width:8pt;height:7.5pt" coordsize="" o:spt="100" o:bullet="t" adj="0,,0" path="" stroked="f">
        <v:stroke joinstyle="miter"/>
        <v:imagedata r:id="rId1" o:title="image13"/>
        <v:formulas/>
        <v:path o:connecttype="segments"/>
      </v:shape>
    </w:pict>
  </w:numPicBullet>
  <w:abstractNum w:abstractNumId="0" w15:restartNumberingAfterBreak="0">
    <w:nsid w:val="1DE93D69"/>
    <w:multiLevelType w:val="hybridMultilevel"/>
    <w:tmpl w:val="6D8C2844"/>
    <w:lvl w:ilvl="0" w:tplc="2918F21E">
      <w:start w:val="1"/>
      <w:numFmt w:val="bullet"/>
      <w:lvlText w:val="•"/>
      <w:lvlPicBulletId w:val="0"/>
      <w:lvlJc w:val="left"/>
      <w:pPr>
        <w:ind w:left="3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9EEB3F8">
      <w:start w:val="1"/>
      <w:numFmt w:val="bullet"/>
      <w:lvlText w:val="o"/>
      <w:lvlJc w:val="left"/>
      <w:pPr>
        <w:ind w:left="14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442ED78">
      <w:start w:val="1"/>
      <w:numFmt w:val="bullet"/>
      <w:lvlText w:val="▪"/>
      <w:lvlJc w:val="left"/>
      <w:pPr>
        <w:ind w:left="21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B9EF7B6">
      <w:start w:val="1"/>
      <w:numFmt w:val="bullet"/>
      <w:lvlText w:val="•"/>
      <w:lvlJc w:val="left"/>
      <w:pPr>
        <w:ind w:left="28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FB21CDA">
      <w:start w:val="1"/>
      <w:numFmt w:val="bullet"/>
      <w:lvlText w:val="o"/>
      <w:lvlJc w:val="left"/>
      <w:pPr>
        <w:ind w:left="36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FD03DB8">
      <w:start w:val="1"/>
      <w:numFmt w:val="bullet"/>
      <w:lvlText w:val="▪"/>
      <w:lvlJc w:val="left"/>
      <w:pPr>
        <w:ind w:left="43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3B69C96">
      <w:start w:val="1"/>
      <w:numFmt w:val="bullet"/>
      <w:lvlText w:val="•"/>
      <w:lvlJc w:val="left"/>
      <w:pPr>
        <w:ind w:left="50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84E2368">
      <w:start w:val="1"/>
      <w:numFmt w:val="bullet"/>
      <w:lvlText w:val="o"/>
      <w:lvlJc w:val="left"/>
      <w:pPr>
        <w:ind w:left="57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6A24062">
      <w:start w:val="1"/>
      <w:numFmt w:val="bullet"/>
      <w:lvlText w:val="▪"/>
      <w:lvlJc w:val="left"/>
      <w:pPr>
        <w:ind w:left="64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F05"/>
    <w:rsid w:val="00B539FD"/>
    <w:rsid w:val="00D51F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6160"/>
  <w15:docId w15:val="{8569184C-3C76-4A39-9FCD-F852DD52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34"/>
      <w:jc w:val="center"/>
      <w:outlineLvl w:val="0"/>
    </w:pPr>
    <w:rPr>
      <w:rFonts w:ascii="Calibri" w:eastAsia="Calibri" w:hAnsi="Calibri" w:cs="Calibri"/>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90.jpg"/><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4693</Characters>
  <Application>Microsoft Office Word</Application>
  <DocSecurity>0</DocSecurity>
  <Lines>39</Lines>
  <Paragraphs>11</Paragraphs>
  <ScaleCrop>false</ScaleCrop>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2021-01-25T06:11:00Z</dcterms:created>
  <dcterms:modified xsi:type="dcterms:W3CDTF">2021-01-25T06:11:00Z</dcterms:modified>
</cp:coreProperties>
</file>