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E519" w14:textId="77777777" w:rsidR="00D6412E" w:rsidRDefault="00C45939">
      <w:pPr>
        <w:spacing w:after="0"/>
        <w:ind w:left="3252" w:hanging="10"/>
        <w:jc w:val="center"/>
      </w:pPr>
      <w:r>
        <w:rPr>
          <w:sz w:val="18"/>
        </w:rPr>
        <w:t>Mackay District Office</w:t>
      </w:r>
    </w:p>
    <w:p w14:paraId="7240AAAC" w14:textId="77777777" w:rsidR="00D6412E" w:rsidRDefault="00C45939">
      <w:pPr>
        <w:spacing w:after="20"/>
        <w:ind w:left="5006"/>
      </w:pPr>
      <w:r>
        <w:rPr>
          <w:noProof/>
        </w:rPr>
        <w:drawing>
          <wp:inline distT="0" distB="0" distL="0" distR="0" wp14:anchorId="4B71033A" wp14:editId="49959818">
            <wp:extent cx="4574" cy="9147"/>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4"/>
                    <a:stretch>
                      <a:fillRect/>
                    </a:stretch>
                  </pic:blipFill>
                  <pic:spPr>
                    <a:xfrm>
                      <a:off x="0" y="0"/>
                      <a:ext cx="4574" cy="9147"/>
                    </a:xfrm>
                    <a:prstGeom prst="rect">
                      <a:avLst/>
                    </a:prstGeom>
                  </pic:spPr>
                </pic:pic>
              </a:graphicData>
            </a:graphic>
          </wp:inline>
        </w:drawing>
      </w:r>
    </w:p>
    <w:p w14:paraId="35E08A56" w14:textId="77777777" w:rsidR="00D6412E" w:rsidRDefault="00C45939">
      <w:pPr>
        <w:tabs>
          <w:tab w:val="center" w:pos="2424"/>
          <w:tab w:val="center" w:pos="6886"/>
        </w:tabs>
        <w:spacing w:after="3"/>
      </w:pPr>
      <w:r>
        <w:rPr>
          <w:sz w:val="18"/>
        </w:rPr>
        <w:tab/>
        <w:t>Queensland Government</w:t>
      </w:r>
      <w:r>
        <w:rPr>
          <w:sz w:val="18"/>
        </w:rPr>
        <w:tab/>
        <w:t>Phone: P.O. Box (07) 1801, 4967 MACKAY 1450, Fax: QLD (07) 47404953 2761</w:t>
      </w:r>
    </w:p>
    <w:tbl>
      <w:tblPr>
        <w:tblStyle w:val="TableGrid"/>
        <w:tblW w:w="9170" w:type="dxa"/>
        <w:tblInd w:w="-29" w:type="dxa"/>
        <w:tblCellMar>
          <w:top w:w="32" w:type="dxa"/>
          <w:left w:w="0" w:type="dxa"/>
          <w:bottom w:w="0" w:type="dxa"/>
          <w:right w:w="94" w:type="dxa"/>
        </w:tblCellMar>
        <w:tblLook w:val="04A0" w:firstRow="1" w:lastRow="0" w:firstColumn="1" w:lastColumn="0" w:noHBand="0" w:noVBand="1"/>
      </w:tblPr>
      <w:tblGrid>
        <w:gridCol w:w="2378"/>
        <w:gridCol w:w="987"/>
        <w:gridCol w:w="1995"/>
        <w:gridCol w:w="1714"/>
        <w:gridCol w:w="972"/>
        <w:gridCol w:w="1124"/>
      </w:tblGrid>
      <w:tr w:rsidR="00D6412E" w14:paraId="68C4C864" w14:textId="77777777">
        <w:trPr>
          <w:trHeight w:val="281"/>
        </w:trPr>
        <w:tc>
          <w:tcPr>
            <w:tcW w:w="2377" w:type="dxa"/>
            <w:tcBorders>
              <w:top w:val="single" w:sz="2" w:space="0" w:color="000000"/>
              <w:left w:val="nil"/>
              <w:bottom w:val="single" w:sz="2" w:space="0" w:color="000000"/>
              <w:right w:val="nil"/>
            </w:tcBorders>
          </w:tcPr>
          <w:p w14:paraId="0227D6D8" w14:textId="77777777" w:rsidR="00D6412E" w:rsidRDefault="00C45939">
            <w:pPr>
              <w:spacing w:after="0"/>
              <w:ind w:left="14"/>
            </w:pPr>
            <w:r>
              <w:t>Mine Name</w:t>
            </w:r>
          </w:p>
        </w:tc>
        <w:tc>
          <w:tcPr>
            <w:tcW w:w="987" w:type="dxa"/>
            <w:tcBorders>
              <w:top w:val="single" w:sz="2" w:space="0" w:color="000000"/>
              <w:left w:val="nil"/>
              <w:bottom w:val="single" w:sz="2" w:space="0" w:color="000000"/>
              <w:right w:val="nil"/>
            </w:tcBorders>
          </w:tcPr>
          <w:p w14:paraId="4D69C887" w14:textId="77777777" w:rsidR="00D6412E" w:rsidRDefault="00C45939">
            <w:pPr>
              <w:spacing w:after="0"/>
            </w:pPr>
            <w:r>
              <w:rPr>
                <w:sz w:val="26"/>
              </w:rPr>
              <w:t>File No.</w:t>
            </w:r>
          </w:p>
        </w:tc>
        <w:tc>
          <w:tcPr>
            <w:tcW w:w="1995" w:type="dxa"/>
            <w:tcBorders>
              <w:top w:val="single" w:sz="2" w:space="0" w:color="000000"/>
              <w:left w:val="nil"/>
              <w:bottom w:val="single" w:sz="2" w:space="0" w:color="000000"/>
              <w:right w:val="nil"/>
            </w:tcBorders>
          </w:tcPr>
          <w:p w14:paraId="6E3EB564" w14:textId="77777777" w:rsidR="00D6412E" w:rsidRDefault="00C45939">
            <w:pPr>
              <w:spacing w:after="0"/>
              <w:ind w:left="353"/>
            </w:pPr>
            <w:r>
              <w:t>Operator</w:t>
            </w:r>
          </w:p>
        </w:tc>
        <w:tc>
          <w:tcPr>
            <w:tcW w:w="1714" w:type="dxa"/>
            <w:tcBorders>
              <w:top w:val="single" w:sz="2" w:space="0" w:color="000000"/>
              <w:left w:val="nil"/>
              <w:bottom w:val="single" w:sz="2" w:space="0" w:color="000000"/>
              <w:right w:val="nil"/>
            </w:tcBorders>
          </w:tcPr>
          <w:p w14:paraId="76C19FB5" w14:textId="77777777" w:rsidR="00D6412E" w:rsidRDefault="00C45939">
            <w:pPr>
              <w:spacing w:after="0"/>
            </w:pPr>
            <w:r>
              <w:rPr>
                <w:sz w:val="24"/>
              </w:rPr>
              <w:t>Activity Type</w:t>
            </w:r>
          </w:p>
        </w:tc>
        <w:tc>
          <w:tcPr>
            <w:tcW w:w="972" w:type="dxa"/>
            <w:tcBorders>
              <w:top w:val="single" w:sz="2" w:space="0" w:color="000000"/>
              <w:left w:val="nil"/>
              <w:bottom w:val="single" w:sz="2" w:space="0" w:color="000000"/>
              <w:right w:val="nil"/>
            </w:tcBorders>
          </w:tcPr>
          <w:p w14:paraId="7D18CF9F" w14:textId="77777777" w:rsidR="00D6412E" w:rsidRDefault="00C45939">
            <w:pPr>
              <w:spacing w:after="0"/>
            </w:pPr>
            <w:r>
              <w:rPr>
                <w:sz w:val="24"/>
              </w:rPr>
              <w:t>Region</w:t>
            </w:r>
          </w:p>
        </w:tc>
        <w:tc>
          <w:tcPr>
            <w:tcW w:w="1124" w:type="dxa"/>
            <w:tcBorders>
              <w:top w:val="single" w:sz="2" w:space="0" w:color="000000"/>
              <w:left w:val="nil"/>
              <w:bottom w:val="single" w:sz="2" w:space="0" w:color="000000"/>
              <w:right w:val="nil"/>
            </w:tcBorders>
          </w:tcPr>
          <w:p w14:paraId="3BE2041E" w14:textId="77777777" w:rsidR="00D6412E" w:rsidRDefault="00C45939">
            <w:pPr>
              <w:spacing w:after="0"/>
            </w:pPr>
            <w:r>
              <w:rPr>
                <w:sz w:val="20"/>
              </w:rPr>
              <w:t>Activity Date</w:t>
            </w:r>
          </w:p>
        </w:tc>
      </w:tr>
      <w:tr w:rsidR="00D6412E" w14:paraId="6D843F37" w14:textId="77777777">
        <w:trPr>
          <w:trHeight w:val="490"/>
        </w:trPr>
        <w:tc>
          <w:tcPr>
            <w:tcW w:w="2377" w:type="dxa"/>
            <w:tcBorders>
              <w:top w:val="single" w:sz="2" w:space="0" w:color="000000"/>
              <w:left w:val="nil"/>
              <w:bottom w:val="single" w:sz="2" w:space="0" w:color="000000"/>
              <w:right w:val="nil"/>
            </w:tcBorders>
          </w:tcPr>
          <w:p w14:paraId="604887D5" w14:textId="77777777" w:rsidR="00D6412E" w:rsidRDefault="00C45939">
            <w:pPr>
              <w:spacing w:after="0"/>
              <w:ind w:left="22"/>
            </w:pPr>
            <w:r>
              <w:t>North Goonyella</w:t>
            </w:r>
          </w:p>
        </w:tc>
        <w:tc>
          <w:tcPr>
            <w:tcW w:w="987" w:type="dxa"/>
            <w:tcBorders>
              <w:top w:val="single" w:sz="2" w:space="0" w:color="000000"/>
              <w:left w:val="nil"/>
              <w:bottom w:val="single" w:sz="2" w:space="0" w:color="000000"/>
              <w:right w:val="nil"/>
            </w:tcBorders>
          </w:tcPr>
          <w:p w14:paraId="598FD89C" w14:textId="77777777" w:rsidR="00D6412E" w:rsidRDefault="00C45939">
            <w:pPr>
              <w:spacing w:after="0"/>
              <w:ind w:left="101"/>
            </w:pPr>
            <w:r>
              <w:t>8,550</w:t>
            </w:r>
          </w:p>
        </w:tc>
        <w:tc>
          <w:tcPr>
            <w:tcW w:w="1995" w:type="dxa"/>
            <w:tcBorders>
              <w:top w:val="single" w:sz="2" w:space="0" w:color="000000"/>
              <w:left w:val="nil"/>
              <w:bottom w:val="single" w:sz="2" w:space="0" w:color="000000"/>
              <w:right w:val="nil"/>
            </w:tcBorders>
          </w:tcPr>
          <w:p w14:paraId="7E75B787" w14:textId="77777777" w:rsidR="00D6412E" w:rsidRDefault="00C45939">
            <w:pPr>
              <w:spacing w:after="0"/>
              <w:ind w:right="238"/>
              <w:jc w:val="center"/>
            </w:pPr>
            <w:r>
              <w:t>Peabody (Bowen) Pty Ltd</w:t>
            </w:r>
          </w:p>
        </w:tc>
        <w:tc>
          <w:tcPr>
            <w:tcW w:w="1714" w:type="dxa"/>
            <w:tcBorders>
              <w:top w:val="single" w:sz="2" w:space="0" w:color="000000"/>
              <w:left w:val="nil"/>
              <w:bottom w:val="single" w:sz="2" w:space="0" w:color="000000"/>
              <w:right w:val="nil"/>
            </w:tcBorders>
          </w:tcPr>
          <w:p w14:paraId="050EB49A" w14:textId="77777777" w:rsidR="00D6412E" w:rsidRDefault="00C45939">
            <w:pPr>
              <w:spacing w:after="0"/>
              <w:ind w:left="108"/>
            </w:pPr>
            <w:r>
              <w:t>Postal Mine</w:t>
            </w:r>
          </w:p>
          <w:p w14:paraId="2033237B" w14:textId="77777777" w:rsidR="00D6412E" w:rsidRDefault="00C45939">
            <w:pPr>
              <w:spacing w:after="0"/>
              <w:ind w:left="50"/>
            </w:pPr>
            <w:r>
              <w:t>Record Entry</w:t>
            </w:r>
          </w:p>
        </w:tc>
        <w:tc>
          <w:tcPr>
            <w:tcW w:w="972" w:type="dxa"/>
            <w:tcBorders>
              <w:top w:val="single" w:sz="2" w:space="0" w:color="000000"/>
              <w:left w:val="nil"/>
              <w:bottom w:val="single" w:sz="2" w:space="0" w:color="000000"/>
              <w:right w:val="nil"/>
            </w:tcBorders>
          </w:tcPr>
          <w:p w14:paraId="64E4ED9D" w14:textId="77777777" w:rsidR="00D6412E" w:rsidRDefault="00C45939">
            <w:pPr>
              <w:spacing w:after="0"/>
              <w:ind w:left="14"/>
            </w:pPr>
            <w:r>
              <w:t>Central</w:t>
            </w:r>
          </w:p>
        </w:tc>
        <w:tc>
          <w:tcPr>
            <w:tcW w:w="1124" w:type="dxa"/>
            <w:tcBorders>
              <w:top w:val="single" w:sz="2" w:space="0" w:color="000000"/>
              <w:left w:val="nil"/>
              <w:bottom w:val="single" w:sz="2" w:space="0" w:color="000000"/>
              <w:right w:val="nil"/>
            </w:tcBorders>
          </w:tcPr>
          <w:p w14:paraId="3D7C8843" w14:textId="77777777" w:rsidR="00D6412E" w:rsidRDefault="00C45939">
            <w:pPr>
              <w:spacing w:after="0"/>
              <w:ind w:left="50"/>
            </w:pPr>
            <w:r>
              <w:rPr>
                <w:sz w:val="20"/>
              </w:rPr>
              <w:t>05/02/2014</w:t>
            </w:r>
          </w:p>
        </w:tc>
      </w:tr>
    </w:tbl>
    <w:p w14:paraId="057A08C3" w14:textId="77777777" w:rsidR="00D6412E" w:rsidRDefault="00C45939">
      <w:pPr>
        <w:spacing w:after="346"/>
        <w:ind w:left="161" w:hanging="10"/>
        <w:jc w:val="center"/>
      </w:pPr>
      <w:r>
        <w:rPr>
          <w:sz w:val="18"/>
        </w:rPr>
        <w:t>Vision: Our Industries Free of Safety and Health Incidents</w:t>
      </w:r>
    </w:p>
    <w:p w14:paraId="35AEC3FB" w14:textId="77777777" w:rsidR="00D6412E" w:rsidRDefault="00C45939">
      <w:pPr>
        <w:pStyle w:val="Heading1"/>
      </w:pPr>
      <w:r>
        <w:t>Mine Record Entry</w:t>
      </w:r>
    </w:p>
    <w:p w14:paraId="0CA1554B" w14:textId="77777777" w:rsidR="00D6412E" w:rsidRDefault="00C45939">
      <w:pPr>
        <w:spacing w:after="47" w:line="216" w:lineRule="auto"/>
        <w:ind w:left="10" w:right="-58" w:hanging="10"/>
        <w:jc w:val="center"/>
      </w:pPr>
      <w:r>
        <w:rPr>
          <w:sz w:val="26"/>
        </w:rPr>
        <w:t>This report forms part of the Mine Record under s68 of the Coal Mining Safety and</w:t>
      </w:r>
    </w:p>
    <w:p w14:paraId="2451E14F" w14:textId="77777777" w:rsidR="00D6412E" w:rsidRDefault="00C45939">
      <w:pPr>
        <w:spacing w:after="116" w:line="216" w:lineRule="auto"/>
        <w:ind w:left="10" w:hanging="10"/>
        <w:jc w:val="center"/>
      </w:pPr>
      <w:r>
        <w:rPr>
          <w:sz w:val="26"/>
        </w:rPr>
        <w:t>Health Act 1999. It must be placed in the Mine Record and displayed on Safety Notice Boards.</w:t>
      </w:r>
    </w:p>
    <w:p w14:paraId="743D5CFA" w14:textId="77777777" w:rsidR="00D6412E" w:rsidRDefault="00C45939">
      <w:pPr>
        <w:spacing w:after="301" w:line="216" w:lineRule="auto"/>
        <w:ind w:left="10" w:hanging="10"/>
        <w:jc w:val="center"/>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w:t>
      </w:r>
      <w:r>
        <w:rPr>
          <w:sz w:val="26"/>
        </w:rPr>
        <w:t>n acceptable level.</w:t>
      </w:r>
    </w:p>
    <w:p w14:paraId="7124D562" w14:textId="77777777" w:rsidR="00D6412E" w:rsidRDefault="00C45939">
      <w:pPr>
        <w:spacing w:after="0" w:line="265" w:lineRule="auto"/>
        <w:ind w:left="-5" w:hanging="10"/>
      </w:pPr>
      <w:r>
        <w:rPr>
          <w:sz w:val="24"/>
        </w:rPr>
        <w:t xml:space="preserve">The matters in this MRE relate to the recent withdrawal of persons at 16:50 on 03/02/14 from the underground workings due to the activation of a Level 4 TARP on the active goaf of Longwall 7 North which resulted in the Underground Mine </w:t>
      </w:r>
      <w:r>
        <w:rPr>
          <w:sz w:val="24"/>
        </w:rPr>
        <w:t xml:space="preserve">Manager initiating the provisions of Regulation 329 Emergency sealing. </w:t>
      </w:r>
      <w:proofErr w:type="gramStart"/>
      <w:r>
        <w:rPr>
          <w:sz w:val="24"/>
        </w:rPr>
        <w:t>A number of</w:t>
      </w:r>
      <w:proofErr w:type="gramEnd"/>
      <w:r>
        <w:rPr>
          <w:sz w:val="24"/>
        </w:rPr>
        <w:t xml:space="preserve"> documents have since been forwarded to comply with this Regulation, and for the purposes of re-entering the mine. </w:t>
      </w:r>
      <w:proofErr w:type="gramStart"/>
      <w:r>
        <w:rPr>
          <w:sz w:val="24"/>
        </w:rPr>
        <w:t>However</w:t>
      </w:r>
      <w:proofErr w:type="gramEnd"/>
      <w:r>
        <w:rPr>
          <w:sz w:val="24"/>
        </w:rPr>
        <w:t xml:space="preserve"> the content of these documents does not meet the re</w:t>
      </w:r>
      <w:r>
        <w:rPr>
          <w:sz w:val="24"/>
        </w:rPr>
        <w:t>quirements of Regulation 329, and does not demonstrate that adequate controls have been implemented so that the level of risk is acceptable for consent to re-enter the mine as per Regulation 330 Evacuating a mine after sealing. A summary of the matters whi</w:t>
      </w:r>
      <w:r>
        <w:rPr>
          <w:sz w:val="24"/>
        </w:rPr>
        <w:t>ch require amending/ addressing have been forwarded to the SSE, and the UMM. This document and the documents these matters are based upon are attached to this MRE.</w:t>
      </w:r>
    </w:p>
    <w:p w14:paraId="2D1B0677" w14:textId="77777777" w:rsidR="00D6412E" w:rsidRDefault="00C45939">
      <w:pPr>
        <w:spacing w:after="0"/>
        <w:ind w:left="-22"/>
      </w:pPr>
      <w:r>
        <w:rPr>
          <w:noProof/>
        </w:rPr>
        <w:drawing>
          <wp:inline distT="0" distB="0" distL="0" distR="0" wp14:anchorId="0AF8AA43" wp14:editId="00A88224">
            <wp:extent cx="1052055" cy="306440"/>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5"/>
                    <a:stretch>
                      <a:fillRect/>
                    </a:stretch>
                  </pic:blipFill>
                  <pic:spPr>
                    <a:xfrm>
                      <a:off x="0" y="0"/>
                      <a:ext cx="1052055" cy="306440"/>
                    </a:xfrm>
                    <a:prstGeom prst="rect">
                      <a:avLst/>
                    </a:prstGeom>
                  </pic:spPr>
                </pic:pic>
              </a:graphicData>
            </a:graphic>
          </wp:inline>
        </w:drawing>
      </w:r>
    </w:p>
    <w:p w14:paraId="00D3D26F" w14:textId="77777777" w:rsidR="00D6412E" w:rsidRDefault="00D6412E">
      <w:pPr>
        <w:sectPr w:rsidR="00D6412E">
          <w:pgSz w:w="11900" w:h="16840"/>
          <w:pgMar w:top="1723" w:right="1455" w:bottom="678" w:left="1433" w:header="720" w:footer="720" w:gutter="0"/>
          <w:cols w:space="720"/>
        </w:sectPr>
      </w:pPr>
    </w:p>
    <w:p w14:paraId="593C9F93" w14:textId="77777777" w:rsidR="00D6412E" w:rsidRDefault="00C45939">
      <w:pPr>
        <w:spacing w:after="0"/>
      </w:pPr>
      <w:r>
        <w:rPr>
          <w:sz w:val="26"/>
        </w:rPr>
        <w:t>Shaun Dobson</w:t>
      </w:r>
    </w:p>
    <w:p w14:paraId="05C2AD8A" w14:textId="77777777" w:rsidR="00D6412E" w:rsidRDefault="00C45939">
      <w:pPr>
        <w:spacing w:after="0" w:line="265" w:lineRule="auto"/>
        <w:ind w:left="-5" w:hanging="10"/>
      </w:pPr>
      <w:r>
        <w:rPr>
          <w:sz w:val="24"/>
        </w:rPr>
        <w:t>Inspector of Mines</w:t>
      </w:r>
    </w:p>
    <w:p w14:paraId="18882BA0" w14:textId="77777777" w:rsidR="00D6412E" w:rsidRDefault="00C45939">
      <w:pPr>
        <w:spacing w:after="5157" w:line="265" w:lineRule="auto"/>
        <w:ind w:left="-5" w:hanging="10"/>
      </w:pPr>
      <w:r>
        <w:rPr>
          <w:sz w:val="24"/>
        </w:rPr>
        <w:t>Central Region</w:t>
      </w:r>
    </w:p>
    <w:p w14:paraId="3AFE5E36" w14:textId="77777777" w:rsidR="00D6412E" w:rsidRDefault="00C45939">
      <w:pPr>
        <w:tabs>
          <w:tab w:val="center" w:pos="4463"/>
          <w:tab w:val="right" w:pos="8839"/>
        </w:tabs>
        <w:spacing w:after="3"/>
        <w:ind w:left="-8"/>
      </w:pPr>
      <w:r>
        <w:rPr>
          <w:sz w:val="18"/>
        </w:rPr>
        <w:lastRenderedPageBreak/>
        <w:t>05/02/2014</w:t>
      </w:r>
      <w:r>
        <w:rPr>
          <w:sz w:val="18"/>
        </w:rPr>
        <w:tab/>
      </w:r>
      <w:r>
        <w:rPr>
          <w:sz w:val="18"/>
        </w:rPr>
        <w:t>Mine Record Entry</w:t>
      </w:r>
      <w:r>
        <w:rPr>
          <w:sz w:val="18"/>
        </w:rPr>
        <w:tab/>
      </w:r>
      <w:r>
        <w:rPr>
          <w:sz w:val="18"/>
        </w:rPr>
        <w:t>Page 1 of 1</w:t>
      </w:r>
    </w:p>
    <w:sectPr w:rsidR="00D6412E">
      <w:type w:val="continuous"/>
      <w:pgSz w:w="11900" w:h="16840"/>
      <w:pgMar w:top="1723" w:right="1599" w:bottom="678" w:left="14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2E"/>
    <w:rsid w:val="00C45939"/>
    <w:rsid w:val="00D6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0796"/>
  <w15:docId w15:val="{76F775AA-99C1-4088-AB3B-F03B860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0"/>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2021-01-27T10:35:00Z</dcterms:created>
  <dcterms:modified xsi:type="dcterms:W3CDTF">2021-01-27T10:35:00Z</dcterms:modified>
</cp:coreProperties>
</file>