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4732A" w14:textId="77777777" w:rsidR="00632B3F" w:rsidRDefault="004B7ED4">
      <w:pPr>
        <w:spacing w:after="0"/>
        <w:ind w:left="3385" w:hanging="10"/>
        <w:jc w:val="center"/>
      </w:pPr>
      <w:r>
        <w:rPr>
          <w:sz w:val="20"/>
        </w:rPr>
        <w:t>Mackay District Office</w:t>
      </w:r>
    </w:p>
    <w:p w14:paraId="4CF2EBA6" w14:textId="77777777" w:rsidR="00632B3F" w:rsidRDefault="004B7ED4">
      <w:pPr>
        <w:spacing w:after="0"/>
        <w:ind w:right="1007"/>
        <w:jc w:val="right"/>
      </w:pPr>
      <w:r>
        <w:rPr>
          <w:sz w:val="20"/>
        </w:rPr>
        <w:t>P.O. Box 1801, MACKAY QLD 4740</w:t>
      </w:r>
    </w:p>
    <w:tbl>
      <w:tblPr>
        <w:tblStyle w:val="TableGrid"/>
        <w:tblW w:w="9326" w:type="dxa"/>
        <w:tblInd w:w="150" w:type="dxa"/>
        <w:tblCellMar>
          <w:top w:w="0" w:type="dxa"/>
          <w:left w:w="0" w:type="dxa"/>
          <w:bottom w:w="0" w:type="dxa"/>
          <w:right w:w="94" w:type="dxa"/>
        </w:tblCellMar>
        <w:tblLook w:val="04A0" w:firstRow="1" w:lastRow="0" w:firstColumn="1" w:lastColumn="0" w:noHBand="0" w:noVBand="1"/>
      </w:tblPr>
      <w:tblGrid>
        <w:gridCol w:w="325"/>
        <w:gridCol w:w="2043"/>
        <w:gridCol w:w="957"/>
        <w:gridCol w:w="1979"/>
        <w:gridCol w:w="4022"/>
      </w:tblGrid>
      <w:tr w:rsidR="00632B3F" w14:paraId="6F8011E4" w14:textId="77777777">
        <w:trPr>
          <w:trHeight w:val="363"/>
        </w:trPr>
        <w:tc>
          <w:tcPr>
            <w:tcW w:w="325" w:type="dxa"/>
            <w:tcBorders>
              <w:top w:val="single" w:sz="2" w:space="0" w:color="000000"/>
              <w:left w:val="nil"/>
              <w:bottom w:val="single" w:sz="2" w:space="0" w:color="000000"/>
              <w:right w:val="single" w:sz="2" w:space="0" w:color="000000"/>
            </w:tcBorders>
          </w:tcPr>
          <w:p w14:paraId="1E470D88" w14:textId="77777777" w:rsidR="00632B3F" w:rsidRDefault="00632B3F"/>
        </w:tc>
        <w:tc>
          <w:tcPr>
            <w:tcW w:w="4979" w:type="dxa"/>
            <w:gridSpan w:val="3"/>
            <w:tcBorders>
              <w:top w:val="nil"/>
              <w:left w:val="single" w:sz="2" w:space="0" w:color="000000"/>
              <w:bottom w:val="single" w:sz="2" w:space="0" w:color="000000"/>
              <w:right w:val="nil"/>
            </w:tcBorders>
          </w:tcPr>
          <w:p w14:paraId="26DEE629" w14:textId="77777777" w:rsidR="00632B3F" w:rsidRDefault="004B7ED4">
            <w:pPr>
              <w:spacing w:after="0"/>
              <w:ind w:left="237"/>
            </w:pPr>
            <w:r>
              <w:rPr>
                <w:noProof/>
              </w:rPr>
              <w:drawing>
                <wp:inline distT="0" distB="0" distL="0" distR="0" wp14:anchorId="07877A86" wp14:editId="73741FC6">
                  <wp:extent cx="4569" cy="191860"/>
                  <wp:effectExtent l="0" t="0" r="0" b="0"/>
                  <wp:docPr id="8485" name="Picture 8485"/>
                  <wp:cNvGraphicFramePr/>
                  <a:graphic xmlns:a="http://schemas.openxmlformats.org/drawingml/2006/main">
                    <a:graphicData uri="http://schemas.openxmlformats.org/drawingml/2006/picture">
                      <pic:pic xmlns:pic="http://schemas.openxmlformats.org/drawingml/2006/picture">
                        <pic:nvPicPr>
                          <pic:cNvPr id="8485" name="Picture 8485"/>
                          <pic:cNvPicPr/>
                        </pic:nvPicPr>
                        <pic:blipFill>
                          <a:blip r:embed="rId5"/>
                          <a:stretch>
                            <a:fillRect/>
                          </a:stretch>
                        </pic:blipFill>
                        <pic:spPr>
                          <a:xfrm>
                            <a:off x="0" y="0"/>
                            <a:ext cx="4569" cy="191860"/>
                          </a:xfrm>
                          <a:prstGeom prst="rect">
                            <a:avLst/>
                          </a:prstGeom>
                        </pic:spPr>
                      </pic:pic>
                    </a:graphicData>
                  </a:graphic>
                </wp:inline>
              </w:drawing>
            </w:r>
            <w:r>
              <w:rPr>
                <w:sz w:val="36"/>
              </w:rPr>
              <w:t xml:space="preserve"> Queensland Government</w:t>
            </w:r>
          </w:p>
        </w:tc>
        <w:tc>
          <w:tcPr>
            <w:tcW w:w="4022" w:type="dxa"/>
            <w:tcBorders>
              <w:top w:val="nil"/>
              <w:left w:val="nil"/>
              <w:bottom w:val="single" w:sz="2" w:space="0" w:color="000000"/>
              <w:right w:val="nil"/>
            </w:tcBorders>
          </w:tcPr>
          <w:p w14:paraId="50307EDF" w14:textId="77777777" w:rsidR="00632B3F" w:rsidRDefault="004B7ED4">
            <w:pPr>
              <w:spacing w:after="0"/>
              <w:ind w:left="65"/>
            </w:pPr>
            <w:r>
              <w:rPr>
                <w:sz w:val="18"/>
              </w:rPr>
              <w:t>Phone: (07) 4999 8512, Fax: (07) 4999 8519</w:t>
            </w:r>
          </w:p>
        </w:tc>
      </w:tr>
      <w:tr w:rsidR="00632B3F" w14:paraId="6E96AA1A" w14:textId="77777777">
        <w:trPr>
          <w:trHeight w:val="281"/>
        </w:trPr>
        <w:tc>
          <w:tcPr>
            <w:tcW w:w="2368" w:type="dxa"/>
            <w:gridSpan w:val="2"/>
            <w:tcBorders>
              <w:top w:val="single" w:sz="2" w:space="0" w:color="000000"/>
              <w:left w:val="nil"/>
              <w:bottom w:val="single" w:sz="2" w:space="0" w:color="000000"/>
              <w:right w:val="nil"/>
            </w:tcBorders>
          </w:tcPr>
          <w:p w14:paraId="1F3B52B6" w14:textId="77777777" w:rsidR="00632B3F" w:rsidRDefault="004B7ED4">
            <w:pPr>
              <w:spacing w:after="0"/>
              <w:ind w:left="-21"/>
            </w:pPr>
            <w:r>
              <w:t>Mine Name</w:t>
            </w:r>
          </w:p>
        </w:tc>
        <w:tc>
          <w:tcPr>
            <w:tcW w:w="957" w:type="dxa"/>
            <w:tcBorders>
              <w:top w:val="single" w:sz="2" w:space="0" w:color="000000"/>
              <w:left w:val="nil"/>
              <w:bottom w:val="single" w:sz="2" w:space="0" w:color="000000"/>
              <w:right w:val="nil"/>
            </w:tcBorders>
          </w:tcPr>
          <w:p w14:paraId="41E0E5C3" w14:textId="77777777" w:rsidR="00632B3F" w:rsidRDefault="004B7ED4">
            <w:pPr>
              <w:spacing w:after="0"/>
            </w:pPr>
            <w:r>
              <w:t>Mine ID</w:t>
            </w:r>
          </w:p>
        </w:tc>
        <w:tc>
          <w:tcPr>
            <w:tcW w:w="1979" w:type="dxa"/>
            <w:tcBorders>
              <w:top w:val="single" w:sz="2" w:space="0" w:color="000000"/>
              <w:left w:val="nil"/>
              <w:bottom w:val="single" w:sz="2" w:space="0" w:color="000000"/>
              <w:right w:val="nil"/>
            </w:tcBorders>
          </w:tcPr>
          <w:p w14:paraId="6BDB34EA" w14:textId="77777777" w:rsidR="00632B3F" w:rsidRDefault="004B7ED4">
            <w:pPr>
              <w:spacing w:after="0"/>
              <w:ind w:left="410"/>
            </w:pPr>
            <w:r>
              <w:t>Operator</w:t>
            </w:r>
          </w:p>
        </w:tc>
        <w:tc>
          <w:tcPr>
            <w:tcW w:w="4022" w:type="dxa"/>
            <w:tcBorders>
              <w:top w:val="single" w:sz="2" w:space="0" w:color="000000"/>
              <w:left w:val="nil"/>
              <w:bottom w:val="single" w:sz="2" w:space="0" w:color="000000"/>
              <w:right w:val="nil"/>
            </w:tcBorders>
          </w:tcPr>
          <w:p w14:paraId="5389F55C" w14:textId="77777777" w:rsidR="00632B3F" w:rsidRDefault="004B7ED4">
            <w:pPr>
              <w:tabs>
                <w:tab w:val="center" w:pos="2177"/>
                <w:tab w:val="right" w:pos="3929"/>
              </w:tabs>
              <w:spacing w:after="0"/>
            </w:pPr>
            <w:r>
              <w:rPr>
                <w:sz w:val="24"/>
              </w:rPr>
              <w:t>Activity Type</w:t>
            </w:r>
            <w:r>
              <w:rPr>
                <w:sz w:val="24"/>
              </w:rPr>
              <w:tab/>
              <w:t>Region</w:t>
            </w:r>
            <w:r>
              <w:rPr>
                <w:sz w:val="24"/>
              </w:rPr>
              <w:tab/>
              <w:t>Activity Date</w:t>
            </w:r>
          </w:p>
        </w:tc>
      </w:tr>
      <w:tr w:rsidR="00632B3F" w14:paraId="17259DBD" w14:textId="77777777">
        <w:trPr>
          <w:trHeight w:val="407"/>
        </w:trPr>
        <w:tc>
          <w:tcPr>
            <w:tcW w:w="2368" w:type="dxa"/>
            <w:gridSpan w:val="2"/>
            <w:tcBorders>
              <w:top w:val="single" w:sz="2" w:space="0" w:color="000000"/>
              <w:left w:val="nil"/>
              <w:bottom w:val="single" w:sz="2" w:space="0" w:color="000000"/>
              <w:right w:val="nil"/>
            </w:tcBorders>
          </w:tcPr>
          <w:p w14:paraId="2508A5ED" w14:textId="77777777" w:rsidR="00632B3F" w:rsidRDefault="004B7ED4">
            <w:pPr>
              <w:spacing w:after="0"/>
              <w:ind w:left="-28"/>
            </w:pPr>
            <w:r>
              <w:rPr>
                <w:sz w:val="18"/>
              </w:rPr>
              <w:t>Grosvenor Coal Mine</w:t>
            </w:r>
          </w:p>
        </w:tc>
        <w:tc>
          <w:tcPr>
            <w:tcW w:w="957" w:type="dxa"/>
            <w:tcBorders>
              <w:top w:val="single" w:sz="2" w:space="0" w:color="000000"/>
              <w:left w:val="nil"/>
              <w:bottom w:val="single" w:sz="2" w:space="0" w:color="000000"/>
              <w:right w:val="nil"/>
            </w:tcBorders>
          </w:tcPr>
          <w:p w14:paraId="57D23FF3" w14:textId="77777777" w:rsidR="00632B3F" w:rsidRDefault="004B7ED4">
            <w:pPr>
              <w:spacing w:after="0"/>
              <w:ind w:left="43"/>
            </w:pPr>
            <w:r>
              <w:rPr>
                <w:sz w:val="16"/>
              </w:rPr>
              <w:t xml:space="preserve">M102976 </w:t>
            </w:r>
          </w:p>
        </w:tc>
        <w:tc>
          <w:tcPr>
            <w:tcW w:w="1979" w:type="dxa"/>
            <w:tcBorders>
              <w:top w:val="single" w:sz="2" w:space="0" w:color="000000"/>
              <w:left w:val="nil"/>
              <w:bottom w:val="single" w:sz="2" w:space="0" w:color="000000"/>
              <w:right w:val="nil"/>
            </w:tcBorders>
          </w:tcPr>
          <w:p w14:paraId="37EC38BA" w14:textId="77777777" w:rsidR="00632B3F" w:rsidRDefault="004B7ED4">
            <w:pPr>
              <w:spacing w:after="0"/>
              <w:ind w:left="58" w:hanging="58"/>
            </w:pPr>
            <w:r>
              <w:rPr>
                <w:sz w:val="18"/>
              </w:rPr>
              <w:t>Anglo Coal (Grosvenor Management) Pty Ltd</w:t>
            </w:r>
          </w:p>
        </w:tc>
        <w:tc>
          <w:tcPr>
            <w:tcW w:w="4022" w:type="dxa"/>
            <w:tcBorders>
              <w:top w:val="single" w:sz="2" w:space="0" w:color="000000"/>
              <w:left w:val="nil"/>
              <w:bottom w:val="single" w:sz="2" w:space="0" w:color="000000"/>
              <w:right w:val="nil"/>
            </w:tcBorders>
          </w:tcPr>
          <w:p w14:paraId="7C48FD2D" w14:textId="77777777" w:rsidR="00632B3F" w:rsidRDefault="004B7ED4">
            <w:pPr>
              <w:tabs>
                <w:tab w:val="center" w:pos="2177"/>
                <w:tab w:val="right" w:pos="3929"/>
              </w:tabs>
              <w:spacing w:after="0"/>
            </w:pPr>
            <w:r>
              <w:rPr>
                <w:sz w:val="18"/>
              </w:rPr>
              <w:t>Postal Mine Record</w:t>
            </w:r>
            <w:r>
              <w:rPr>
                <w:sz w:val="18"/>
              </w:rPr>
              <w:tab/>
              <w:t>Central</w:t>
            </w:r>
            <w:r>
              <w:rPr>
                <w:sz w:val="18"/>
              </w:rPr>
              <w:tab/>
            </w:r>
            <w:r>
              <w:rPr>
                <w:sz w:val="18"/>
              </w:rPr>
              <w:t>12/09/2017</w:t>
            </w:r>
          </w:p>
        </w:tc>
      </w:tr>
    </w:tbl>
    <w:p w14:paraId="19210ED7" w14:textId="77777777" w:rsidR="00632B3F" w:rsidRDefault="004B7ED4">
      <w:pPr>
        <w:spacing w:after="331"/>
        <w:ind w:left="255" w:hanging="10"/>
        <w:jc w:val="center"/>
      </w:pPr>
      <w:r>
        <w:rPr>
          <w:sz w:val="20"/>
        </w:rPr>
        <w:t>Vision: Our Industries Free of Safety and Health Incidents</w:t>
      </w:r>
    </w:p>
    <w:p w14:paraId="244303E8" w14:textId="77777777" w:rsidR="00632B3F" w:rsidRDefault="004B7ED4">
      <w:pPr>
        <w:pStyle w:val="Heading1"/>
      </w:pPr>
      <w:r>
        <w:t>Mine Record Entry</w:t>
      </w:r>
    </w:p>
    <w:p w14:paraId="39F99ECB" w14:textId="77777777" w:rsidR="00632B3F" w:rsidRDefault="004B7ED4">
      <w:pPr>
        <w:spacing w:after="47" w:line="216" w:lineRule="auto"/>
        <w:ind w:left="10" w:right="-194" w:hanging="10"/>
        <w:jc w:val="center"/>
      </w:pPr>
      <w:r>
        <w:rPr>
          <w:sz w:val="26"/>
        </w:rPr>
        <w:t>This report forms part of the Mine Record under s68 of the Coal Mining Safety and</w:t>
      </w:r>
    </w:p>
    <w:p w14:paraId="384D9E79" w14:textId="77777777" w:rsidR="00632B3F" w:rsidRDefault="004B7ED4">
      <w:pPr>
        <w:spacing w:after="117" w:line="216" w:lineRule="auto"/>
        <w:ind w:left="10" w:hanging="10"/>
        <w:jc w:val="center"/>
      </w:pPr>
      <w:r>
        <w:rPr>
          <w:sz w:val="26"/>
        </w:rPr>
        <w:t>Health Act 1999.</w:t>
      </w:r>
      <w:r>
        <w:rPr>
          <w:sz w:val="26"/>
        </w:rPr>
        <w:t xml:space="preserve"> It must be placed in the Mine Record and displayed on Safety Notice Boards.</w:t>
      </w:r>
    </w:p>
    <w:p w14:paraId="14C561CD" w14:textId="77777777" w:rsidR="00632B3F" w:rsidRDefault="004B7ED4">
      <w:pPr>
        <w:spacing w:after="603" w:line="216" w:lineRule="auto"/>
        <w:ind w:left="173" w:firstLine="101"/>
      </w:pPr>
      <w:r>
        <w:rPr>
          <w:sz w:val="28"/>
        </w:rPr>
        <w:t>Note that inspection or audit activities conducted by the Mines Inspectorate are based upon sample techniques. It remains the primary responsibility of Mine Personnel to identify hazards, and risks associated with Operations and ensure those risks are at a</w:t>
      </w:r>
      <w:r>
        <w:rPr>
          <w:sz w:val="28"/>
        </w:rPr>
        <w:t xml:space="preserve">n acceptable level. </w:t>
      </w:r>
      <w:r>
        <w:rPr>
          <w:noProof/>
        </w:rPr>
        <w:drawing>
          <wp:inline distT="0" distB="0" distL="0" distR="0" wp14:anchorId="48F3D881" wp14:editId="4DC5A427">
            <wp:extent cx="4569" cy="4568"/>
            <wp:effectExtent l="0" t="0" r="0" b="0"/>
            <wp:docPr id="2776" name="Picture 2776"/>
            <wp:cNvGraphicFramePr/>
            <a:graphic xmlns:a="http://schemas.openxmlformats.org/drawingml/2006/main">
              <a:graphicData uri="http://schemas.openxmlformats.org/drawingml/2006/picture">
                <pic:pic xmlns:pic="http://schemas.openxmlformats.org/drawingml/2006/picture">
                  <pic:nvPicPr>
                    <pic:cNvPr id="2776" name="Picture 2776"/>
                    <pic:cNvPicPr/>
                  </pic:nvPicPr>
                  <pic:blipFill>
                    <a:blip r:embed="rId6"/>
                    <a:stretch>
                      <a:fillRect/>
                    </a:stretch>
                  </pic:blipFill>
                  <pic:spPr>
                    <a:xfrm>
                      <a:off x="0" y="0"/>
                      <a:ext cx="4569" cy="4568"/>
                    </a:xfrm>
                    <a:prstGeom prst="rect">
                      <a:avLst/>
                    </a:prstGeom>
                  </pic:spPr>
                </pic:pic>
              </a:graphicData>
            </a:graphic>
          </wp:inline>
        </w:drawing>
      </w:r>
    </w:p>
    <w:p w14:paraId="7345A0C7" w14:textId="77777777" w:rsidR="00632B3F" w:rsidRDefault="004B7ED4">
      <w:pPr>
        <w:spacing w:after="25" w:line="234" w:lineRule="auto"/>
        <w:ind w:left="125" w:hanging="3"/>
      </w:pPr>
      <w:r>
        <w:rPr>
          <w:sz w:val="24"/>
        </w:rPr>
        <w:t xml:space="preserve">I, Mr Leslie Marlborough, Inspector of Mines, have been reviewing the document, </w:t>
      </w:r>
      <w:r>
        <w:rPr>
          <w:noProof/>
        </w:rPr>
        <w:drawing>
          <wp:inline distT="0" distB="0" distL="0" distR="0" wp14:anchorId="32375D76" wp14:editId="110943EC">
            <wp:extent cx="9138" cy="9136"/>
            <wp:effectExtent l="0" t="0" r="0" b="0"/>
            <wp:docPr id="2777" name="Picture 2777"/>
            <wp:cNvGraphicFramePr/>
            <a:graphic xmlns:a="http://schemas.openxmlformats.org/drawingml/2006/main">
              <a:graphicData uri="http://schemas.openxmlformats.org/drawingml/2006/picture">
                <pic:pic xmlns:pic="http://schemas.openxmlformats.org/drawingml/2006/picture">
                  <pic:nvPicPr>
                    <pic:cNvPr id="2777" name="Picture 2777"/>
                    <pic:cNvPicPr/>
                  </pic:nvPicPr>
                  <pic:blipFill>
                    <a:blip r:embed="rId7"/>
                    <a:stretch>
                      <a:fillRect/>
                    </a:stretch>
                  </pic:blipFill>
                  <pic:spPr>
                    <a:xfrm>
                      <a:off x="0" y="0"/>
                      <a:ext cx="9138" cy="9136"/>
                    </a:xfrm>
                    <a:prstGeom prst="rect">
                      <a:avLst/>
                    </a:prstGeom>
                  </pic:spPr>
                </pic:pic>
              </a:graphicData>
            </a:graphic>
          </wp:inline>
        </w:drawing>
      </w:r>
    </w:p>
    <w:p w14:paraId="5135F20C" w14:textId="77777777" w:rsidR="00632B3F" w:rsidRDefault="004B7ED4">
      <w:pPr>
        <w:spacing w:after="285" w:line="234" w:lineRule="auto"/>
        <w:ind w:left="125" w:hanging="3"/>
      </w:pPr>
      <w:r>
        <w:rPr>
          <w:sz w:val="24"/>
        </w:rPr>
        <w:t>GRO-750-TARP-General Body Contaminant which was supplied to me on request by SSE Mr Adam Garde on 1 1 Aug 2017.</w:t>
      </w:r>
    </w:p>
    <w:p w14:paraId="1D9384A9" w14:textId="77777777" w:rsidR="00632B3F" w:rsidRDefault="004B7ED4">
      <w:pPr>
        <w:spacing w:after="285" w:line="234" w:lineRule="auto"/>
        <w:ind w:left="125" w:hanging="3"/>
      </w:pPr>
      <w:r>
        <w:rPr>
          <w:sz w:val="24"/>
        </w:rPr>
        <w:t>Having reviewed this document, I have id</w:t>
      </w:r>
      <w:r>
        <w:rPr>
          <w:sz w:val="24"/>
        </w:rPr>
        <w:t xml:space="preserve">entified several areas of </w:t>
      </w:r>
      <w:proofErr w:type="gramStart"/>
      <w:r>
        <w:rPr>
          <w:sz w:val="24"/>
        </w:rPr>
        <w:t>concern;-</w:t>
      </w:r>
      <w:proofErr w:type="gramEnd"/>
    </w:p>
    <w:p w14:paraId="3F551A1E" w14:textId="77777777" w:rsidR="00632B3F" w:rsidRDefault="004B7ED4">
      <w:pPr>
        <w:numPr>
          <w:ilvl w:val="0"/>
          <w:numId w:val="1"/>
        </w:numPr>
        <w:spacing w:after="285" w:line="234" w:lineRule="auto"/>
        <w:ind w:hanging="3"/>
      </w:pPr>
      <w:r>
        <w:rPr>
          <w:sz w:val="24"/>
        </w:rPr>
        <w:t>The Level 2 and 3 triggers for Methane for the Longwall return that require the Shearer speed to be reduced by 30% or to stop the shearer do not occur when the shearer is in the TG Shuffle Zone, referred to in the TARP a</w:t>
      </w:r>
      <w:r>
        <w:rPr>
          <w:sz w:val="24"/>
        </w:rPr>
        <w:t>s PRS#131 — 149. Has the Methane ignition risk been assessed for this in the risk assessment when developing this TARP? Were any alternatives considered, such as;</w:t>
      </w:r>
      <w:r>
        <w:rPr>
          <w:noProof/>
        </w:rPr>
        <w:drawing>
          <wp:inline distT="0" distB="0" distL="0" distR="0" wp14:anchorId="2B7F7639" wp14:editId="53E7391B">
            <wp:extent cx="73108" cy="73090"/>
            <wp:effectExtent l="0" t="0" r="0" b="0"/>
            <wp:docPr id="2778" name="Picture 2778"/>
            <wp:cNvGraphicFramePr/>
            <a:graphic xmlns:a="http://schemas.openxmlformats.org/drawingml/2006/main">
              <a:graphicData uri="http://schemas.openxmlformats.org/drawingml/2006/picture">
                <pic:pic xmlns:pic="http://schemas.openxmlformats.org/drawingml/2006/picture">
                  <pic:nvPicPr>
                    <pic:cNvPr id="2778" name="Picture 2778"/>
                    <pic:cNvPicPr/>
                  </pic:nvPicPr>
                  <pic:blipFill>
                    <a:blip r:embed="rId8"/>
                    <a:stretch>
                      <a:fillRect/>
                    </a:stretch>
                  </pic:blipFill>
                  <pic:spPr>
                    <a:xfrm>
                      <a:off x="0" y="0"/>
                      <a:ext cx="73108" cy="73090"/>
                    </a:xfrm>
                    <a:prstGeom prst="rect">
                      <a:avLst/>
                    </a:prstGeom>
                  </pic:spPr>
                </pic:pic>
              </a:graphicData>
            </a:graphic>
          </wp:inline>
        </w:drawing>
      </w:r>
      <w:r>
        <w:rPr>
          <w:sz w:val="24"/>
        </w:rPr>
        <w:t xml:space="preserve"> preventing shearer access into the TG should Methane levels be approaching 2 or 2.5% as the </w:t>
      </w:r>
      <w:r>
        <w:rPr>
          <w:sz w:val="24"/>
        </w:rPr>
        <w:t xml:space="preserve">shearer approaches the TG; </w:t>
      </w:r>
      <w:r>
        <w:rPr>
          <w:noProof/>
        </w:rPr>
        <w:drawing>
          <wp:inline distT="0" distB="0" distL="0" distR="0" wp14:anchorId="688696D3" wp14:editId="0E550A93">
            <wp:extent cx="73108" cy="73090"/>
            <wp:effectExtent l="0" t="0" r="0" b="0"/>
            <wp:docPr id="2779" name="Picture 2779"/>
            <wp:cNvGraphicFramePr/>
            <a:graphic xmlns:a="http://schemas.openxmlformats.org/drawingml/2006/main">
              <a:graphicData uri="http://schemas.openxmlformats.org/drawingml/2006/picture">
                <pic:pic xmlns:pic="http://schemas.openxmlformats.org/drawingml/2006/picture">
                  <pic:nvPicPr>
                    <pic:cNvPr id="2779" name="Picture 2779"/>
                    <pic:cNvPicPr/>
                  </pic:nvPicPr>
                  <pic:blipFill>
                    <a:blip r:embed="rId9"/>
                    <a:stretch>
                      <a:fillRect/>
                    </a:stretch>
                  </pic:blipFill>
                  <pic:spPr>
                    <a:xfrm>
                      <a:off x="0" y="0"/>
                      <a:ext cx="73108" cy="73090"/>
                    </a:xfrm>
                    <a:prstGeom prst="rect">
                      <a:avLst/>
                    </a:prstGeom>
                  </pic:spPr>
                </pic:pic>
              </a:graphicData>
            </a:graphic>
          </wp:inline>
        </w:drawing>
      </w:r>
      <w:r>
        <w:rPr>
          <w:sz w:val="24"/>
        </w:rPr>
        <w:t xml:space="preserve"> tripping the cutter heads at a lower Methane GB concentration to allow the shearer to be flitted clear of the TG Shuffle Zone; </w:t>
      </w:r>
      <w:r>
        <w:rPr>
          <w:noProof/>
        </w:rPr>
        <w:drawing>
          <wp:inline distT="0" distB="0" distL="0" distR="0" wp14:anchorId="6F836EC9" wp14:editId="203DF681">
            <wp:extent cx="73108" cy="73089"/>
            <wp:effectExtent l="0" t="0" r="0" b="0"/>
            <wp:docPr id="2780" name="Picture 2780"/>
            <wp:cNvGraphicFramePr/>
            <a:graphic xmlns:a="http://schemas.openxmlformats.org/drawingml/2006/main">
              <a:graphicData uri="http://schemas.openxmlformats.org/drawingml/2006/picture">
                <pic:pic xmlns:pic="http://schemas.openxmlformats.org/drawingml/2006/picture">
                  <pic:nvPicPr>
                    <pic:cNvPr id="2780" name="Picture 2780"/>
                    <pic:cNvPicPr/>
                  </pic:nvPicPr>
                  <pic:blipFill>
                    <a:blip r:embed="rId10"/>
                    <a:stretch>
                      <a:fillRect/>
                    </a:stretch>
                  </pic:blipFill>
                  <pic:spPr>
                    <a:xfrm>
                      <a:off x="0" y="0"/>
                      <a:ext cx="73108" cy="73089"/>
                    </a:xfrm>
                    <a:prstGeom prst="rect">
                      <a:avLst/>
                    </a:prstGeom>
                  </pic:spPr>
                </pic:pic>
              </a:graphicData>
            </a:graphic>
          </wp:inline>
        </w:drawing>
      </w:r>
      <w:r>
        <w:rPr>
          <w:sz w:val="24"/>
        </w:rPr>
        <w:t xml:space="preserve"> the use of a Sherwood Curtain or other ventilation method in the TG end of the Longwall?</w:t>
      </w:r>
    </w:p>
    <w:p w14:paraId="3ED7B8C1" w14:textId="77777777" w:rsidR="00632B3F" w:rsidRDefault="004B7ED4">
      <w:pPr>
        <w:numPr>
          <w:ilvl w:val="0"/>
          <w:numId w:val="1"/>
        </w:numPr>
        <w:spacing w:after="285" w:line="234" w:lineRule="auto"/>
        <w:ind w:hanging="3"/>
      </w:pPr>
      <w:r>
        <w:rPr>
          <w:sz w:val="24"/>
        </w:rPr>
        <w:t xml:space="preserve">Does the </w:t>
      </w:r>
      <w:r>
        <w:rPr>
          <w:sz w:val="24"/>
        </w:rPr>
        <w:t>mine have gas monitoring data that shows the extent of the TG Shuffle Zone and the flushing of Methane from the goaf area when the shearer is in this area?</w:t>
      </w:r>
    </w:p>
    <w:p w14:paraId="74D7A55E" w14:textId="77777777" w:rsidR="00632B3F" w:rsidRDefault="004B7ED4">
      <w:pPr>
        <w:numPr>
          <w:ilvl w:val="0"/>
          <w:numId w:val="1"/>
        </w:numPr>
        <w:spacing w:after="333" w:line="234" w:lineRule="auto"/>
        <w:ind w:hanging="3"/>
      </w:pPr>
      <w:r>
        <w:rPr>
          <w:sz w:val="24"/>
        </w:rPr>
        <w:t>Is the stopping of the shearer an instantaneous automatic function when the shearer is in the TG Shu</w:t>
      </w:r>
      <w:r>
        <w:rPr>
          <w:sz w:val="24"/>
        </w:rPr>
        <w:t>ffle Zone?</w:t>
      </w:r>
    </w:p>
    <w:p w14:paraId="0FEFFE83" w14:textId="77777777" w:rsidR="00632B3F" w:rsidRDefault="004B7ED4">
      <w:pPr>
        <w:spacing w:after="289" w:line="237" w:lineRule="auto"/>
        <w:ind w:left="122" w:right="273" w:firstLine="7"/>
        <w:jc w:val="both"/>
      </w:pPr>
      <w:r>
        <w:rPr>
          <w:sz w:val="24"/>
        </w:rPr>
        <w:t xml:space="preserve">4 The TARP, with regards to Methane concentrations, appears to be focussed on compliance with s343 of the CHSHR. The mine must also ensure that the hazards associated with Methane </w:t>
      </w:r>
      <w:proofErr w:type="gramStart"/>
      <w:r>
        <w:rPr>
          <w:sz w:val="24"/>
        </w:rPr>
        <w:t>in excess of</w:t>
      </w:r>
      <w:proofErr w:type="gramEnd"/>
      <w:r>
        <w:rPr>
          <w:sz w:val="24"/>
        </w:rPr>
        <w:t xml:space="preserve"> 2.0% are addressed in the management of general body</w:t>
      </w:r>
      <w:r>
        <w:rPr>
          <w:sz w:val="24"/>
        </w:rPr>
        <w:t xml:space="preserve"> methane levels to achieve an acceptable level of risk.</w:t>
      </w:r>
    </w:p>
    <w:p w14:paraId="0503A8B5" w14:textId="77777777" w:rsidR="00632B3F" w:rsidRDefault="004B7ED4">
      <w:pPr>
        <w:spacing w:after="591" w:line="234" w:lineRule="auto"/>
        <w:ind w:left="125" w:hanging="3"/>
      </w:pPr>
      <w:r>
        <w:rPr>
          <w:sz w:val="24"/>
        </w:rPr>
        <w:t xml:space="preserve">I will issue a Directive for the mine to review the GRO-750-TARP-General Body Contaminant and the controls in place to ensure that the above points are addressed, with </w:t>
      </w:r>
      <w:proofErr w:type="spellStart"/>
      <w:r>
        <w:rPr>
          <w:sz w:val="24"/>
        </w:rPr>
        <w:t>suppoffing</w:t>
      </w:r>
      <w:proofErr w:type="spellEnd"/>
      <w:r>
        <w:rPr>
          <w:sz w:val="24"/>
        </w:rPr>
        <w:t xml:space="preserve"> data</w:t>
      </w:r>
    </w:p>
    <w:p w14:paraId="786BD54F" w14:textId="77777777" w:rsidR="00632B3F" w:rsidRDefault="004B7ED4">
      <w:pPr>
        <w:tabs>
          <w:tab w:val="center" w:pos="4648"/>
          <w:tab w:val="right" w:pos="9340"/>
        </w:tabs>
        <w:spacing w:after="239"/>
      </w:pPr>
      <w:r>
        <w:rPr>
          <w:sz w:val="18"/>
        </w:rPr>
        <w:lastRenderedPageBreak/>
        <w:t>12/09/2017</w:t>
      </w:r>
      <w:r>
        <w:rPr>
          <w:sz w:val="18"/>
        </w:rPr>
        <w:tab/>
      </w:r>
      <w:r>
        <w:rPr>
          <w:sz w:val="18"/>
        </w:rPr>
        <w:t xml:space="preserve">Mine </w:t>
      </w:r>
      <w:r>
        <w:rPr>
          <w:sz w:val="18"/>
        </w:rPr>
        <w:t>Record Entry</w:t>
      </w:r>
      <w:r>
        <w:rPr>
          <w:sz w:val="18"/>
        </w:rPr>
        <w:tab/>
        <w:t>Page 1 of 2</w:t>
      </w:r>
    </w:p>
    <w:p w14:paraId="5BE32252" w14:textId="77777777" w:rsidR="00632B3F" w:rsidRDefault="004B7ED4">
      <w:pPr>
        <w:spacing w:after="259" w:line="249" w:lineRule="auto"/>
        <w:ind w:left="10" w:right="36" w:hanging="3"/>
      </w:pPr>
      <w:r>
        <w:rPr>
          <w:sz w:val="24"/>
        </w:rPr>
        <w:t>from the mine's gas monitoring system to ensure that an acceptable level of risk is achieved.</w:t>
      </w:r>
    </w:p>
    <w:p w14:paraId="33A88FE9" w14:textId="77777777" w:rsidR="00632B3F" w:rsidRDefault="004B7ED4">
      <w:pPr>
        <w:spacing w:after="1642" w:line="249" w:lineRule="auto"/>
        <w:ind w:left="10" w:right="36" w:hanging="3"/>
      </w:pPr>
      <w:r>
        <w:rPr>
          <w:sz w:val="24"/>
        </w:rPr>
        <w:t>I also request that the mine supply me, by Friday 15 September 2017, with screen shots of weekly gas trends from the Citect gas monitoring system for each week, for the 12 weeks prior to Sun 10 Sept 2017. These 12 separate screen shots must show Methane re</w:t>
      </w:r>
      <w:r>
        <w:rPr>
          <w:sz w:val="24"/>
        </w:rPr>
        <w:t>adings for the LWIOI TG Inbye and Outbye Methane monitors, the TG 101 Outbye Tube Bundle point Methane reading, the shearer face position and the Barometer reading.</w:t>
      </w:r>
    </w:p>
    <w:p w14:paraId="64A5BB9A" w14:textId="77777777" w:rsidR="00632B3F" w:rsidRDefault="004B7ED4">
      <w:pPr>
        <w:tabs>
          <w:tab w:val="center" w:pos="4638"/>
          <w:tab w:val="right" w:pos="9340"/>
        </w:tabs>
        <w:spacing w:after="0"/>
      </w:pPr>
      <w:r>
        <w:rPr>
          <w:sz w:val="26"/>
          <w:u w:val="single" w:color="000000"/>
        </w:rPr>
        <w:t>Number</w:t>
      </w:r>
      <w:r>
        <w:rPr>
          <w:sz w:val="26"/>
          <w:u w:val="single" w:color="000000"/>
        </w:rPr>
        <w:tab/>
        <w:t>Directive</w:t>
      </w:r>
      <w:r>
        <w:rPr>
          <w:sz w:val="26"/>
          <w:u w:val="single" w:color="000000"/>
        </w:rPr>
        <w:tab/>
        <w:t>Due Date</w:t>
      </w:r>
    </w:p>
    <w:p w14:paraId="451AFA9B" w14:textId="77777777" w:rsidR="00632B3F" w:rsidRDefault="004B7ED4">
      <w:pPr>
        <w:spacing w:after="118"/>
        <w:ind w:right="72"/>
        <w:jc w:val="center"/>
      </w:pPr>
      <w:r>
        <w:rPr>
          <w:sz w:val="18"/>
        </w:rPr>
        <w:t>Pursuant to section 168 of the Coal Mining Safety and Health Act 1999</w:t>
      </w:r>
    </w:p>
    <w:p w14:paraId="370CE938" w14:textId="77777777" w:rsidR="00632B3F" w:rsidRDefault="004B7ED4">
      <w:pPr>
        <w:spacing w:after="82" w:line="265" w:lineRule="auto"/>
        <w:ind w:left="-8" w:firstLine="540"/>
      </w:pPr>
      <w:r>
        <w:rPr>
          <w:sz w:val="24"/>
        </w:rPr>
        <w:t>1</w:t>
      </w:r>
      <w:r>
        <w:rPr>
          <w:sz w:val="24"/>
        </w:rPr>
        <w:tab/>
      </w:r>
      <w:r>
        <w:rPr>
          <w:sz w:val="24"/>
        </w:rPr>
        <w:t>Review of general Body Contaminant TARP</w:t>
      </w:r>
      <w:r>
        <w:rPr>
          <w:sz w:val="24"/>
        </w:rPr>
        <w:tab/>
      </w:r>
      <w:r>
        <w:rPr>
          <w:sz w:val="24"/>
        </w:rPr>
        <w:t xml:space="preserve">03/10/2017 </w:t>
      </w:r>
      <w:r>
        <w:rPr>
          <w:sz w:val="24"/>
        </w:rPr>
        <w:t>The mine is to review the GRO-750-TARP-General Body Contaminant and the controls in place to ensure that the above points are address</w:t>
      </w:r>
      <w:r>
        <w:rPr>
          <w:sz w:val="24"/>
        </w:rPr>
        <w:t>ed, with supporting data from the mine's gas monitoring system to ensure that an acceptable level of risk is achieved</w:t>
      </w:r>
    </w:p>
    <w:p w14:paraId="055BEC2E" w14:textId="77777777" w:rsidR="00632B3F" w:rsidRDefault="004B7ED4">
      <w:pPr>
        <w:spacing w:after="0" w:line="216" w:lineRule="auto"/>
        <w:ind w:left="4"/>
        <w:jc w:val="center"/>
      </w:pPr>
      <w:r>
        <w:rPr>
          <w:sz w:val="28"/>
        </w:rPr>
        <w:t xml:space="preserve">Please provide a written status report on each Directive together with the actions taken </w:t>
      </w:r>
      <w:r>
        <w:rPr>
          <w:noProof/>
        </w:rPr>
        <w:drawing>
          <wp:inline distT="0" distB="0" distL="0" distR="0" wp14:anchorId="0426727B" wp14:editId="52029453">
            <wp:extent cx="1603802" cy="383720"/>
            <wp:effectExtent l="0" t="0" r="0" b="0"/>
            <wp:docPr id="4512" name="Picture 4512"/>
            <wp:cNvGraphicFramePr/>
            <a:graphic xmlns:a="http://schemas.openxmlformats.org/drawingml/2006/main">
              <a:graphicData uri="http://schemas.openxmlformats.org/drawingml/2006/picture">
                <pic:pic xmlns:pic="http://schemas.openxmlformats.org/drawingml/2006/picture">
                  <pic:nvPicPr>
                    <pic:cNvPr id="4512" name="Picture 4512"/>
                    <pic:cNvPicPr/>
                  </pic:nvPicPr>
                  <pic:blipFill>
                    <a:blip r:embed="rId11"/>
                    <a:stretch>
                      <a:fillRect/>
                    </a:stretch>
                  </pic:blipFill>
                  <pic:spPr>
                    <a:xfrm>
                      <a:off x="0" y="0"/>
                      <a:ext cx="1603802" cy="383720"/>
                    </a:xfrm>
                    <a:prstGeom prst="rect">
                      <a:avLst/>
                    </a:prstGeom>
                  </pic:spPr>
                </pic:pic>
              </a:graphicData>
            </a:graphic>
          </wp:inline>
        </w:drawing>
      </w:r>
      <w:r>
        <w:rPr>
          <w:sz w:val="28"/>
        </w:rPr>
        <w:t>to address each item by their due dates</w:t>
      </w:r>
    </w:p>
    <w:p w14:paraId="3280443A" w14:textId="77777777" w:rsidR="00632B3F" w:rsidRDefault="00632B3F">
      <w:pPr>
        <w:sectPr w:rsidR="00632B3F">
          <w:pgSz w:w="11909" w:h="16841"/>
          <w:pgMar w:top="1728" w:right="1216" w:bottom="553" w:left="1353" w:header="720" w:footer="720" w:gutter="0"/>
          <w:cols w:space="720"/>
        </w:sectPr>
      </w:pPr>
    </w:p>
    <w:p w14:paraId="7DC642A7" w14:textId="77777777" w:rsidR="00632B3F" w:rsidRDefault="004B7ED4">
      <w:pPr>
        <w:spacing w:after="0"/>
        <w:ind w:left="7"/>
      </w:pPr>
      <w:r>
        <w:rPr>
          <w:sz w:val="26"/>
        </w:rPr>
        <w:t>Les Marlborough</w:t>
      </w:r>
    </w:p>
    <w:p w14:paraId="39F7FBDA" w14:textId="77777777" w:rsidR="00632B3F" w:rsidRDefault="004B7ED4">
      <w:pPr>
        <w:spacing w:after="0" w:line="265" w:lineRule="auto"/>
        <w:ind w:left="2" w:hanging="10"/>
      </w:pPr>
      <w:r>
        <w:rPr>
          <w:sz w:val="24"/>
        </w:rPr>
        <w:t>Inspector of Mines</w:t>
      </w:r>
    </w:p>
    <w:p w14:paraId="7985A558" w14:textId="77777777" w:rsidR="00632B3F" w:rsidRDefault="004B7ED4">
      <w:pPr>
        <w:spacing w:after="7461" w:line="265" w:lineRule="auto"/>
        <w:ind w:left="2" w:hanging="10"/>
      </w:pPr>
      <w:r>
        <w:rPr>
          <w:sz w:val="24"/>
        </w:rPr>
        <w:t>Central Region</w:t>
      </w:r>
    </w:p>
    <w:p w14:paraId="1725284B" w14:textId="77777777" w:rsidR="00632B3F" w:rsidRDefault="004B7ED4">
      <w:pPr>
        <w:tabs>
          <w:tab w:val="center" w:pos="4508"/>
          <w:tab w:val="right" w:pos="9016"/>
        </w:tabs>
        <w:spacing w:after="239"/>
        <w:ind w:left="-15"/>
      </w:pPr>
      <w:r>
        <w:rPr>
          <w:sz w:val="18"/>
        </w:rPr>
        <w:lastRenderedPageBreak/>
        <w:t>12/09/2017</w:t>
      </w:r>
      <w:r>
        <w:rPr>
          <w:sz w:val="18"/>
        </w:rPr>
        <w:tab/>
      </w:r>
      <w:r>
        <w:rPr>
          <w:sz w:val="18"/>
        </w:rPr>
        <w:t>Mine Record Entry</w:t>
      </w:r>
      <w:r>
        <w:rPr>
          <w:sz w:val="18"/>
        </w:rPr>
        <w:tab/>
        <w:t>Page 2 of 2</w:t>
      </w:r>
    </w:p>
    <w:sectPr w:rsidR="00632B3F">
      <w:type w:val="continuous"/>
      <w:pgSz w:w="11909" w:h="16841"/>
      <w:pgMar w:top="1728" w:right="1511" w:bottom="477" w:left="138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065CAB"/>
    <w:multiLevelType w:val="hybridMultilevel"/>
    <w:tmpl w:val="C598CDF4"/>
    <w:lvl w:ilvl="0" w:tplc="9CDC2984">
      <w:start w:val="1"/>
      <w:numFmt w:val="decimal"/>
      <w:lvlText w:val="%1."/>
      <w:lvlJc w:val="left"/>
      <w:pPr>
        <w:ind w:left="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47CC486">
      <w:start w:val="1"/>
      <w:numFmt w:val="lowerLetter"/>
      <w:lvlText w:val="%2"/>
      <w:lvlJc w:val="left"/>
      <w:pPr>
        <w:ind w:left="10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B6EB0B6">
      <w:start w:val="1"/>
      <w:numFmt w:val="lowerRoman"/>
      <w:lvlText w:val="%3"/>
      <w:lvlJc w:val="left"/>
      <w:pPr>
        <w:ind w:left="1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772B360">
      <w:start w:val="1"/>
      <w:numFmt w:val="decimal"/>
      <w:lvlText w:val="%4"/>
      <w:lvlJc w:val="left"/>
      <w:pPr>
        <w:ind w:left="2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43664E8">
      <w:start w:val="1"/>
      <w:numFmt w:val="lowerLetter"/>
      <w:lvlText w:val="%5"/>
      <w:lvlJc w:val="left"/>
      <w:pPr>
        <w:ind w:left="32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3069CE">
      <w:start w:val="1"/>
      <w:numFmt w:val="lowerRoman"/>
      <w:lvlText w:val="%6"/>
      <w:lvlJc w:val="left"/>
      <w:pPr>
        <w:ind w:left="39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B885F86">
      <w:start w:val="1"/>
      <w:numFmt w:val="decimal"/>
      <w:lvlText w:val="%7"/>
      <w:lvlJc w:val="left"/>
      <w:pPr>
        <w:ind w:left="46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B088B0E">
      <w:start w:val="1"/>
      <w:numFmt w:val="lowerLetter"/>
      <w:lvlText w:val="%8"/>
      <w:lvlJc w:val="left"/>
      <w:pPr>
        <w:ind w:left="5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2CC6F40">
      <w:start w:val="1"/>
      <w:numFmt w:val="lowerRoman"/>
      <w:lvlText w:val="%9"/>
      <w:lvlJc w:val="left"/>
      <w:pPr>
        <w:ind w:left="61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B3F"/>
    <w:rsid w:val="004B7ED4"/>
    <w:rsid w:val="00632B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0F425"/>
  <w15:docId w15:val="{083B4F4A-3CC2-46D4-B48F-CF183925F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73"/>
      <w:jc w:val="center"/>
      <w:outlineLvl w:val="0"/>
    </w:pPr>
    <w:rPr>
      <w:rFonts w:ascii="Calibri" w:eastAsia="Calibri" w:hAnsi="Calibri" w:cs="Calibri"/>
      <w:color w:val="000000"/>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6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3198</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2</cp:revision>
  <dcterms:created xsi:type="dcterms:W3CDTF">2020-09-15T00:41:00Z</dcterms:created>
  <dcterms:modified xsi:type="dcterms:W3CDTF">2020-09-15T00:41:00Z</dcterms:modified>
</cp:coreProperties>
</file>